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156E86D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bookmarkStart w:id="0" w:name="_Toc149754992"/>
      <w:bookmarkStart w:id="1" w:name="_Toc137219254"/>
      <w:bookmarkStart w:id="2" w:name="_Toc135213675"/>
      <w:bookmarkStart w:id="3" w:name="_Toc135242029"/>
      <w:r>
        <w:rPr>
          <w:rFonts w:ascii="Times New Roman" w:hAnsi="Times New Roman" w:eastAsia="仿宋_GB2312"/>
          <w:b/>
          <w:bCs/>
          <w:sz w:val="32"/>
          <w:szCs w:val="30"/>
        </w:rPr>
        <w:t>巴宜区</w:t>
      </w:r>
      <w:r>
        <w:rPr>
          <w:rFonts w:hint="eastAsia" w:ascii="Times New Roman" w:hAnsi="Times New Roman" w:eastAsia="仿宋_GB2312"/>
          <w:b/>
          <w:bCs/>
          <w:sz w:val="32"/>
          <w:szCs w:val="30"/>
          <w:lang w:eastAsia="zh-CN"/>
        </w:rPr>
        <w:t>鲁朗</w:t>
      </w:r>
      <w:r>
        <w:rPr>
          <w:rFonts w:ascii="Times New Roman" w:hAnsi="Times New Roman" w:eastAsia="仿宋_GB2312"/>
          <w:b/>
          <w:bCs/>
          <w:sz w:val="32"/>
          <w:szCs w:val="30"/>
        </w:rPr>
        <w:t>镇</w:t>
      </w:r>
      <w:r>
        <w:rPr>
          <w:rFonts w:hint="eastAsia" w:ascii="Times New Roman" w:hAnsi="Times New Roman" w:eastAsia="仿宋_GB2312"/>
          <w:b/>
          <w:bCs/>
          <w:sz w:val="32"/>
          <w:szCs w:val="30"/>
          <w:lang w:eastAsia="zh-CN"/>
        </w:rPr>
        <w:t>东巴才</w:t>
      </w:r>
      <w:r>
        <w:rPr>
          <w:rFonts w:ascii="Times New Roman" w:hAnsi="Times New Roman" w:eastAsia="仿宋_GB2312"/>
          <w:b/>
          <w:bCs/>
          <w:sz w:val="32"/>
          <w:szCs w:val="30"/>
        </w:rPr>
        <w:t>村“多规合一”实用性村庄规划</w:t>
      </w:r>
    </w:p>
    <w:p w14:paraId="7DC7520C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（2024-2035年）</w:t>
      </w:r>
    </w:p>
    <w:p w14:paraId="64A864E4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规划范围</w:t>
      </w:r>
    </w:p>
    <w:p w14:paraId="41345121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本次规划范围为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鲁朗</w:t>
      </w:r>
      <w:r>
        <w:rPr>
          <w:rFonts w:ascii="Times New Roman" w:hAnsi="Times New Roman" w:eastAsia="仿宋_GB2312"/>
          <w:sz w:val="30"/>
          <w:szCs w:val="30"/>
        </w:rPr>
        <w:t>镇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东巴才</w:t>
      </w:r>
      <w:r>
        <w:rPr>
          <w:rFonts w:ascii="Times New Roman" w:hAnsi="Times New Roman" w:eastAsia="仿宋_GB2312"/>
          <w:sz w:val="30"/>
          <w:szCs w:val="30"/>
        </w:rPr>
        <w:t>村村域全部国土空间，规划总面积</w:t>
      </w:r>
      <w:r>
        <w:rPr>
          <w:rFonts w:hint="eastAsia" w:ascii="Times New Roman" w:hAnsi="Times New Roman" w:eastAsia="仿宋_GB2312"/>
          <w:sz w:val="30"/>
          <w:szCs w:val="30"/>
        </w:rPr>
        <w:t>18795.85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3116C318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规划期限</w:t>
      </w:r>
    </w:p>
    <w:p w14:paraId="2BE1CC6B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本次规划期限为2024-2035年。规划基期年为2023年，目标年为2035年，近期至2030年。</w:t>
      </w:r>
    </w:p>
    <w:p w14:paraId="0C5E8E53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规划定位</w:t>
      </w:r>
    </w:p>
    <w:p w14:paraId="07FA58DD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充分发挥东巴才村毗邻鲁朗国际小镇的区位优势，立足色季 拉山、林海、知青点、影视基地及手工作坊等旅游基础，承接镇 区辐射带动，将东巴才村打造为农文旅融合的生态智慧旅游示范 村、鲁朗旅游服务节点村。</w:t>
      </w:r>
    </w:p>
    <w:p w14:paraId="7D2DA6D9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底线约束</w:t>
      </w:r>
    </w:p>
    <w:p w14:paraId="511F6201">
      <w:pPr>
        <w:ind w:firstLine="600" w:firstLineChars="200"/>
        <w:rPr>
          <w:rFonts w:hint="eastAsia"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耕地保护目标。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东巴才</w:t>
      </w:r>
      <w:r>
        <w:rPr>
          <w:rFonts w:hint="eastAsia" w:ascii="Times New Roman" w:hAnsi="Times New Roman" w:eastAsia="仿宋_GB2312"/>
          <w:sz w:val="30"/>
          <w:szCs w:val="30"/>
        </w:rPr>
        <w:t>村落实耕地保护目标68.03公顷（1020.45亩）。</w:t>
      </w:r>
    </w:p>
    <w:p w14:paraId="6899B185">
      <w:pPr>
        <w:ind w:firstLine="600" w:firstLineChars="200"/>
        <w:rPr>
          <w:rFonts w:hint="eastAsia"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永久基本农田。</w:t>
      </w:r>
      <w:r>
        <w:rPr>
          <w:rFonts w:hint="eastAsia" w:ascii="Times New Roman" w:hAnsi="Times New Roman" w:eastAsia="仿宋_GB2312"/>
          <w:sz w:val="30"/>
          <w:szCs w:val="30"/>
        </w:rPr>
        <w:t>根据自然资源部下发巴宜区永久基本农田核实处置成果，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东巴才</w:t>
      </w:r>
      <w:r>
        <w:rPr>
          <w:rFonts w:hint="eastAsia" w:ascii="Times New Roman" w:hAnsi="Times New Roman" w:eastAsia="仿宋_GB2312"/>
          <w:sz w:val="30"/>
          <w:szCs w:val="30"/>
        </w:rPr>
        <w:t>村落实永久基本农田保护任务59.60公顷（894亩）。</w:t>
      </w:r>
    </w:p>
    <w:p w14:paraId="21164D4D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生态保护红线。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东巴才</w:t>
      </w:r>
      <w:r>
        <w:rPr>
          <w:rFonts w:hint="eastAsia" w:ascii="Times New Roman" w:hAnsi="Times New Roman" w:eastAsia="仿宋_GB2312"/>
          <w:sz w:val="30"/>
          <w:szCs w:val="30"/>
        </w:rPr>
        <w:t>村落实生态保护红线17166.1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30B9AD3C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村庄建设边界。</w:t>
      </w:r>
      <w:r>
        <w:rPr>
          <w:rFonts w:hint="eastAsia" w:ascii="Times New Roman" w:hAnsi="Times New Roman" w:eastAsia="仿宋_GB2312"/>
          <w:sz w:val="30"/>
          <w:szCs w:val="30"/>
          <w:highlight w:val="none"/>
          <w:lang w:eastAsia="zh-CN"/>
        </w:rPr>
        <w:t>东巴才</w:t>
      </w:r>
      <w:r>
        <w:rPr>
          <w:rFonts w:hint="eastAsia" w:ascii="Times New Roman" w:hAnsi="Times New Roman" w:eastAsia="仿宋_GB2312"/>
          <w:sz w:val="30"/>
          <w:szCs w:val="30"/>
          <w:highlight w:val="none"/>
        </w:rPr>
        <w:t>村共划定村庄建设边界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27.65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3EA25200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国土空间用地结构优化</w:t>
      </w:r>
    </w:p>
    <w:p w14:paraId="3E3C4D43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农用地优化。结合农业发展要求，统筹安排耕地、园地、林地等各类农用地，适当调整农用地结构。至规划期末，农用地面积</w:t>
      </w:r>
      <w:r>
        <w:rPr>
          <w:rFonts w:hint="eastAsia" w:ascii="Times New Roman" w:hAnsi="Times New Roman" w:eastAsia="仿宋_GB2312"/>
          <w:bCs/>
          <w:sz w:val="30"/>
          <w:szCs w:val="30"/>
          <w:lang w:val="en-US" w:eastAsia="zh-CN"/>
        </w:rPr>
        <w:t>17786.84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7BA106BB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建设用地优化。按照“底线约束、节约集约、盘活存量、严控增量”要求，依法保障农村住房建设需求，统筹考虑生活服务配套设施完善和产业发展用地需求。至规划期末，建设用地面积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117.97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791B5C91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未利用地优化。至规划期末，未利用地面积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891.04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4E86BF51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规划主要图纸</w:t>
      </w:r>
    </w:p>
    <w:p w14:paraId="315CD131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2A857561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036D4852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5ADB1E8F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32CC1C3D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298EBBA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505B178D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5E34AAA6">
      <w:pPr>
        <w:widowControl w:val="0"/>
        <w:numPr>
          <w:ilvl w:val="0"/>
          <w:numId w:val="0"/>
        </w:numPr>
        <w:jc w:val="both"/>
        <w:rPr>
          <w:rStyle w:val="17"/>
          <w:rFonts w:hint="eastAsia" w:eastAsia="等线"/>
          <w:lang w:eastAsia="zh-CN"/>
        </w:rPr>
        <w:sectPr>
          <w:footerReference r:id="rId3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  <w:r>
        <w:rPr>
          <w:rStyle w:val="17"/>
          <w:rFonts w:hint="eastAsia" w:eastAsia="等线"/>
          <w:lang w:eastAsia="zh-CN"/>
        </w:rPr>
        <w:drawing>
          <wp:inline distT="0" distB="0" distL="114300" distR="114300">
            <wp:extent cx="5342255" cy="7560310"/>
            <wp:effectExtent l="0" t="0" r="6985" b="13970"/>
            <wp:docPr id="5" name="图片 5" descr="巴宜区鲁朗镇东巴才村“多规合一”实用性村庄规划（2024-2035年）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巴宜区鲁朗镇东巴才村“多规合一”实用性村庄规划（2024-2035年）_7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4225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7"/>
          <w:rFonts w:hint="eastAsia" w:eastAsia="等线"/>
          <w:lang w:eastAsia="zh-CN"/>
        </w:rPr>
        <w:drawing>
          <wp:inline distT="0" distB="0" distL="114300" distR="114300">
            <wp:extent cx="5342255" cy="7560310"/>
            <wp:effectExtent l="0" t="0" r="6985" b="13970"/>
            <wp:docPr id="4" name="图片 4" descr="巴宜区鲁朗镇东巴才村“多规合一”实用性村庄规划（2024-2035年）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巴宜区鲁朗镇东巴才村“多规合一”实用性村庄规划（2024-2035年）_7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4225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bookmarkEnd w:id="1"/>
      <w:bookmarkEnd w:id="2"/>
      <w:bookmarkEnd w:id="3"/>
    </w:p>
    <w:p w14:paraId="1BED8B81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巴宜区</w:t>
      </w:r>
      <w:r>
        <w:rPr>
          <w:rFonts w:hint="eastAsia" w:ascii="Times New Roman" w:hAnsi="Times New Roman" w:eastAsia="仿宋_GB2312"/>
          <w:b/>
          <w:bCs/>
          <w:sz w:val="32"/>
          <w:szCs w:val="30"/>
          <w:lang w:eastAsia="zh-CN"/>
        </w:rPr>
        <w:t>鲁朗</w:t>
      </w:r>
      <w:r>
        <w:rPr>
          <w:rFonts w:ascii="Times New Roman" w:hAnsi="Times New Roman" w:eastAsia="仿宋_GB2312"/>
          <w:b/>
          <w:bCs/>
          <w:sz w:val="32"/>
          <w:szCs w:val="30"/>
        </w:rPr>
        <w:t>镇</w:t>
      </w:r>
      <w:r>
        <w:rPr>
          <w:rFonts w:hint="eastAsia" w:ascii="Times New Roman" w:hAnsi="Times New Roman" w:eastAsia="仿宋_GB2312"/>
          <w:b/>
          <w:bCs/>
          <w:sz w:val="32"/>
          <w:szCs w:val="30"/>
          <w:lang w:eastAsia="zh-CN"/>
        </w:rPr>
        <w:t>白木</w:t>
      </w:r>
      <w:r>
        <w:rPr>
          <w:rFonts w:ascii="Times New Roman" w:hAnsi="Times New Roman" w:eastAsia="仿宋_GB2312"/>
          <w:b/>
          <w:bCs/>
          <w:sz w:val="32"/>
          <w:szCs w:val="30"/>
        </w:rPr>
        <w:t>村“多规合一”实用性村庄规划</w:t>
      </w:r>
    </w:p>
    <w:p w14:paraId="6A5BD414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（2024-2035年）</w:t>
      </w:r>
    </w:p>
    <w:p w14:paraId="7F06095A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规划范围</w:t>
      </w:r>
    </w:p>
    <w:p w14:paraId="4A5B0D24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本次规划范围为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鲁朗</w:t>
      </w:r>
      <w:r>
        <w:rPr>
          <w:rFonts w:ascii="Times New Roman" w:hAnsi="Times New Roman" w:eastAsia="仿宋_GB2312"/>
          <w:sz w:val="30"/>
          <w:szCs w:val="30"/>
        </w:rPr>
        <w:t>镇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白木</w:t>
      </w:r>
      <w:r>
        <w:rPr>
          <w:rFonts w:ascii="Times New Roman" w:hAnsi="Times New Roman" w:eastAsia="仿宋_GB2312"/>
          <w:sz w:val="30"/>
          <w:szCs w:val="30"/>
        </w:rPr>
        <w:t>村村域全部国土空间，规划总面积</w:t>
      </w:r>
      <w:r>
        <w:rPr>
          <w:rFonts w:hint="eastAsia" w:ascii="Times New Roman" w:hAnsi="Times New Roman" w:eastAsia="仿宋_GB2312"/>
          <w:sz w:val="30"/>
          <w:szCs w:val="30"/>
        </w:rPr>
        <w:t>22103.91公</w:t>
      </w:r>
      <w:r>
        <w:rPr>
          <w:rFonts w:ascii="Times New Roman" w:hAnsi="Times New Roman" w:eastAsia="仿宋_GB2312"/>
          <w:sz w:val="30"/>
          <w:szCs w:val="30"/>
        </w:rPr>
        <w:t>顷。</w:t>
      </w:r>
    </w:p>
    <w:p w14:paraId="0BAC588F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规划期限</w:t>
      </w:r>
    </w:p>
    <w:p w14:paraId="3F328324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本次规划期限为2024-2035年。规划基期年为2023年，目标年为2035年，近期至2030年。</w:t>
      </w:r>
    </w:p>
    <w:p w14:paraId="04A8EF18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规划定位</w:t>
      </w:r>
    </w:p>
    <w:p w14:paraId="307DBB5F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落实上位规划和文件的相关要求，因地制宜大力推动牦牛、黄牛、犏牛养殖产业发展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；</w:t>
      </w:r>
      <w:r>
        <w:rPr>
          <w:rFonts w:ascii="Times New Roman" w:hAnsi="Times New Roman" w:eastAsia="仿宋_GB2312"/>
          <w:sz w:val="30"/>
          <w:szCs w:val="30"/>
        </w:rPr>
        <w:t>立足白木村农牧业基础与拉月曲河谷自然生态环境等资源条件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，</w:t>
      </w:r>
      <w:r>
        <w:rPr>
          <w:rFonts w:ascii="Times New Roman" w:hAnsi="Times New Roman" w:eastAsia="仿宋_GB2312"/>
          <w:sz w:val="30"/>
          <w:szCs w:val="30"/>
        </w:rPr>
        <w:t>借助鲁朗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镇</w:t>
      </w:r>
      <w:r>
        <w:rPr>
          <w:rFonts w:ascii="Times New Roman" w:hAnsi="Times New Roman" w:eastAsia="仿宋_GB2312"/>
          <w:sz w:val="30"/>
          <w:szCs w:val="30"/>
        </w:rPr>
        <w:t>区位优势，进一步拓展农牧生态旅游业。致力于将白木村打造成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为</w:t>
      </w:r>
      <w:r>
        <w:rPr>
          <w:rFonts w:ascii="Times New Roman" w:hAnsi="Times New Roman" w:eastAsia="仿宋_GB2312"/>
          <w:sz w:val="30"/>
          <w:szCs w:val="30"/>
        </w:rPr>
        <w:t>特色养殖示范村与生态旅游服务节点村。</w:t>
      </w:r>
    </w:p>
    <w:p w14:paraId="2CED76E8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底线约束</w:t>
      </w:r>
    </w:p>
    <w:p w14:paraId="4F65DF86">
      <w:pPr>
        <w:ind w:firstLine="600" w:firstLineChars="200"/>
        <w:rPr>
          <w:rFonts w:hint="eastAsia"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耕地保护目标。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白木</w:t>
      </w:r>
      <w:r>
        <w:rPr>
          <w:rFonts w:hint="eastAsia" w:ascii="Times New Roman" w:hAnsi="Times New Roman" w:eastAsia="仿宋_GB2312"/>
          <w:sz w:val="30"/>
          <w:szCs w:val="30"/>
        </w:rPr>
        <w:t>村落实耕地保护目标28.26公顷（423.9亩）。</w:t>
      </w:r>
    </w:p>
    <w:p w14:paraId="2674220D">
      <w:pPr>
        <w:ind w:firstLine="600" w:firstLineChars="200"/>
        <w:rPr>
          <w:rFonts w:hint="eastAsia"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永久基本农田。</w:t>
      </w:r>
      <w:r>
        <w:rPr>
          <w:rFonts w:hint="eastAsia" w:ascii="Times New Roman" w:hAnsi="Times New Roman" w:eastAsia="仿宋_GB2312"/>
          <w:sz w:val="30"/>
          <w:szCs w:val="30"/>
        </w:rPr>
        <w:t>根据自然资源部下发巴宜区永久基本农田核实处置成果，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白木</w:t>
      </w:r>
      <w:r>
        <w:rPr>
          <w:rFonts w:hint="eastAsia" w:ascii="Times New Roman" w:hAnsi="Times New Roman" w:eastAsia="仿宋_GB2312"/>
          <w:sz w:val="30"/>
          <w:szCs w:val="30"/>
        </w:rPr>
        <w:t>村落实永久基本农田保护任务16.92公顷（253.8亩）。</w:t>
      </w:r>
    </w:p>
    <w:p w14:paraId="4072C99B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生态保护红线。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白木</w:t>
      </w:r>
      <w:r>
        <w:rPr>
          <w:rFonts w:hint="eastAsia" w:ascii="Times New Roman" w:hAnsi="Times New Roman" w:eastAsia="仿宋_GB2312"/>
          <w:sz w:val="30"/>
          <w:szCs w:val="30"/>
        </w:rPr>
        <w:t>村落实生态保护红线21451.65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54607B2C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村庄建设边界。</w:t>
      </w:r>
      <w:r>
        <w:rPr>
          <w:rFonts w:hint="eastAsia" w:ascii="Times New Roman" w:hAnsi="Times New Roman" w:eastAsia="仿宋_GB2312"/>
          <w:sz w:val="30"/>
          <w:szCs w:val="30"/>
          <w:highlight w:val="none"/>
          <w:lang w:eastAsia="zh-CN"/>
        </w:rPr>
        <w:t>白木</w:t>
      </w:r>
      <w:r>
        <w:rPr>
          <w:rFonts w:hint="eastAsia" w:ascii="Times New Roman" w:hAnsi="Times New Roman" w:eastAsia="仿宋_GB2312"/>
          <w:sz w:val="30"/>
          <w:szCs w:val="30"/>
          <w:highlight w:val="none"/>
        </w:rPr>
        <w:t>村共划定村庄建设边界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8.54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1055EE14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国土空间用地结构优化</w:t>
      </w:r>
    </w:p>
    <w:p w14:paraId="6F0A0C42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农用地优化。结合农业发展要求，统筹安排耕地、园地、林地等各类农用地，适当调整农用地结构。至规划期末，农用地面积</w:t>
      </w:r>
      <w:r>
        <w:rPr>
          <w:rFonts w:hint="eastAsia" w:ascii="Times New Roman" w:hAnsi="Times New Roman" w:eastAsia="仿宋_GB2312"/>
          <w:bCs/>
          <w:sz w:val="30"/>
          <w:szCs w:val="30"/>
          <w:lang w:val="en-US" w:eastAsia="zh-CN"/>
        </w:rPr>
        <w:t>12243.00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066D2939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建设用地优化。按照“底线约束、节约集约、盘活存量、严控增量”要求，依法保障农村住房建设需求，统筹考虑生活服务配套设施完善和产业发展用地需求。至规划期末，建设用地面积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16.23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02E6ACE2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未利用地优化。至规划期末，未利用地面积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9844.69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6DF81E28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规划主要图纸</w:t>
      </w:r>
    </w:p>
    <w:p w14:paraId="61A6E67A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3783E41D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7F290168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2621F476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678D409D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6583C64A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54515D7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28FE1A40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692A4977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511F7985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06D88998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1D17DC25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784D0178">
      <w:pPr>
        <w:widowControl w:val="0"/>
        <w:numPr>
          <w:ilvl w:val="0"/>
          <w:numId w:val="0"/>
        </w:numPr>
        <w:jc w:val="both"/>
        <w:rPr>
          <w:rStyle w:val="17"/>
          <w:rFonts w:hint="eastAsia" w:eastAsia="等线"/>
          <w:lang w:eastAsia="zh-CN"/>
        </w:rPr>
      </w:pPr>
    </w:p>
    <w:p w14:paraId="04F33A45">
      <w:pPr>
        <w:widowControl w:val="0"/>
        <w:numPr>
          <w:ilvl w:val="0"/>
          <w:numId w:val="0"/>
        </w:numPr>
        <w:jc w:val="both"/>
        <w:rPr>
          <w:rStyle w:val="17"/>
          <w:rFonts w:hint="eastAsia" w:eastAsia="等线"/>
          <w:lang w:eastAsia="zh-CN"/>
        </w:rPr>
        <w:sectPr>
          <w:footerReference r:id="rId4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  <w:r>
        <w:rPr>
          <w:rStyle w:val="17"/>
          <w:rFonts w:hint="eastAsia" w:eastAsia="等线"/>
          <w:lang w:eastAsia="zh-CN"/>
        </w:rPr>
        <w:drawing>
          <wp:inline distT="0" distB="0" distL="114300" distR="114300">
            <wp:extent cx="5344160" cy="7560310"/>
            <wp:effectExtent l="0" t="0" r="5080" b="13970"/>
            <wp:docPr id="9" name="图片 9" descr="巴宜区鲁朗镇白木村“多规合一”实用性村庄规划（2024-2035年）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巴宜区鲁朗镇白木村“多规合一”实用性村庄规划（2024-2035年）_6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7"/>
          <w:rFonts w:hint="eastAsia" w:eastAsia="等线"/>
          <w:lang w:eastAsia="zh-CN"/>
        </w:rPr>
        <w:drawing>
          <wp:inline distT="0" distB="0" distL="114300" distR="114300">
            <wp:extent cx="5344160" cy="7560310"/>
            <wp:effectExtent l="0" t="0" r="5080" b="13970"/>
            <wp:docPr id="10" name="图片 10" descr="巴宜区鲁朗镇白木村“多规合一”实用性村庄规划（2024-2035年）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巴宜区鲁朗镇白木村“多规合一”实用性村庄规划（2024-2035年）_7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0B54A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巴宜区</w:t>
      </w:r>
      <w:r>
        <w:rPr>
          <w:rFonts w:hint="eastAsia" w:ascii="Times New Roman" w:hAnsi="Times New Roman" w:eastAsia="仿宋_GB2312"/>
          <w:b/>
          <w:bCs/>
          <w:sz w:val="32"/>
          <w:szCs w:val="30"/>
          <w:lang w:eastAsia="zh-CN"/>
        </w:rPr>
        <w:t>鲁朗</w:t>
      </w:r>
      <w:r>
        <w:rPr>
          <w:rFonts w:ascii="Times New Roman" w:hAnsi="Times New Roman" w:eastAsia="仿宋_GB2312"/>
          <w:b/>
          <w:bCs/>
          <w:sz w:val="32"/>
          <w:szCs w:val="30"/>
        </w:rPr>
        <w:t>镇</w:t>
      </w:r>
      <w:r>
        <w:rPr>
          <w:rFonts w:hint="eastAsia" w:ascii="Times New Roman" w:hAnsi="Times New Roman" w:eastAsia="仿宋_GB2312"/>
          <w:b/>
          <w:bCs/>
          <w:sz w:val="32"/>
          <w:szCs w:val="30"/>
          <w:lang w:eastAsia="zh-CN"/>
        </w:rPr>
        <w:t>扎西岗</w:t>
      </w:r>
      <w:r>
        <w:rPr>
          <w:rFonts w:ascii="Times New Roman" w:hAnsi="Times New Roman" w:eastAsia="仿宋_GB2312"/>
          <w:b/>
          <w:bCs/>
          <w:sz w:val="32"/>
          <w:szCs w:val="30"/>
        </w:rPr>
        <w:t>村“多规合一”实用性村庄规划</w:t>
      </w:r>
    </w:p>
    <w:p w14:paraId="3F217FBF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（2024-2035年）</w:t>
      </w:r>
    </w:p>
    <w:p w14:paraId="4457E2EC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规划范围</w:t>
      </w:r>
    </w:p>
    <w:p w14:paraId="5F6783EC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本次规划范围为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鲁朗</w:t>
      </w:r>
      <w:r>
        <w:rPr>
          <w:rFonts w:ascii="Times New Roman" w:hAnsi="Times New Roman" w:eastAsia="仿宋_GB2312"/>
          <w:sz w:val="30"/>
          <w:szCs w:val="30"/>
        </w:rPr>
        <w:t>镇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扎西岗</w:t>
      </w:r>
      <w:r>
        <w:rPr>
          <w:rFonts w:ascii="Times New Roman" w:hAnsi="Times New Roman" w:eastAsia="仿宋_GB2312"/>
          <w:sz w:val="30"/>
          <w:szCs w:val="30"/>
        </w:rPr>
        <w:t>村村域全部国土空间，规划总面积</w:t>
      </w:r>
      <w:r>
        <w:rPr>
          <w:rFonts w:hint="eastAsia" w:ascii="Times New Roman" w:hAnsi="Times New Roman" w:eastAsia="仿宋_GB2312"/>
          <w:sz w:val="30"/>
          <w:szCs w:val="30"/>
        </w:rPr>
        <w:t>28445.14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190A175E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规划期限</w:t>
      </w:r>
    </w:p>
    <w:p w14:paraId="03663D40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本次规划期限为2024-2035年。规划基期年为2023年，目标年为2035年，近期至2030年。</w:t>
      </w:r>
    </w:p>
    <w:p w14:paraId="323080E2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规划定位</w:t>
      </w:r>
    </w:p>
    <w:p w14:paraId="161026F0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落实上位规划和文件的相关要求，发挥紧邻鲁朗国际小镇的 区位优势，立足桑杰庄园、土司遗址等丰富的历史文化资源基础， 带动文旅产业发展，将扎西岗村打造成为具有文化旅游模范和 “美宿”建设示范效应的传统村落。</w:t>
      </w:r>
    </w:p>
    <w:p w14:paraId="0838A10A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底线约束</w:t>
      </w:r>
    </w:p>
    <w:p w14:paraId="01528185">
      <w:pPr>
        <w:ind w:firstLine="600" w:firstLineChars="200"/>
        <w:rPr>
          <w:rFonts w:hint="eastAsia"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耕地保护目标。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扎西岗</w:t>
      </w:r>
      <w:r>
        <w:rPr>
          <w:rFonts w:hint="eastAsia" w:ascii="Times New Roman" w:hAnsi="Times New Roman" w:eastAsia="仿宋_GB2312"/>
          <w:sz w:val="30"/>
          <w:szCs w:val="30"/>
        </w:rPr>
        <w:t>村落实耕地保护目标174.27公顷（2614.05亩）。</w:t>
      </w:r>
    </w:p>
    <w:p w14:paraId="77D771A9">
      <w:pPr>
        <w:ind w:firstLine="600" w:firstLineChars="200"/>
        <w:rPr>
          <w:rFonts w:hint="eastAsia"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永久基本农田。</w:t>
      </w:r>
      <w:r>
        <w:rPr>
          <w:rFonts w:hint="eastAsia" w:ascii="Times New Roman" w:hAnsi="Times New Roman" w:eastAsia="仿宋_GB2312"/>
          <w:sz w:val="30"/>
          <w:szCs w:val="30"/>
        </w:rPr>
        <w:t>根据自然资源部下发巴宜区永久基本农田核实处置成果，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扎西岗</w:t>
      </w:r>
      <w:r>
        <w:rPr>
          <w:rFonts w:hint="eastAsia" w:ascii="Times New Roman" w:hAnsi="Times New Roman" w:eastAsia="仿宋_GB2312"/>
          <w:sz w:val="30"/>
          <w:szCs w:val="30"/>
        </w:rPr>
        <w:t>村落实永久基本农田保护任务8.48公顷（127.2亩）。</w:t>
      </w:r>
    </w:p>
    <w:p w14:paraId="10143200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生态保护红线。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扎西岗</w:t>
      </w:r>
      <w:r>
        <w:rPr>
          <w:rFonts w:hint="eastAsia" w:ascii="Times New Roman" w:hAnsi="Times New Roman" w:eastAsia="仿宋_GB2312"/>
          <w:sz w:val="30"/>
          <w:szCs w:val="30"/>
        </w:rPr>
        <w:t>村落实生态保护红线26442.62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1E4BA9BF">
      <w:pPr>
        <w:ind w:firstLine="600" w:firstLineChars="200"/>
        <w:rPr>
          <w:rFonts w:hint="eastAsia" w:ascii="Times New Roman" w:hAnsi="Times New Roman" w:eastAsia="仿宋_GB2312"/>
          <w:sz w:val="30"/>
          <w:szCs w:val="30"/>
        </w:rPr>
      </w:pPr>
      <w:r>
        <w:rPr>
          <w:rFonts w:hint="eastAsia" w:ascii="Times New Roman" w:hAnsi="Times New Roman" w:eastAsia="仿宋_GB2312"/>
          <w:sz w:val="30"/>
          <w:szCs w:val="30"/>
        </w:rPr>
        <w:t>城镇开发边界。根据巴宜区“三区三线”划定成果，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扎西岗</w:t>
      </w:r>
      <w:r>
        <w:rPr>
          <w:rFonts w:hint="eastAsia" w:ascii="Times New Roman" w:hAnsi="Times New Roman" w:eastAsia="仿宋_GB2312"/>
          <w:sz w:val="30"/>
          <w:szCs w:val="30"/>
        </w:rPr>
        <w:t>村落实城镇开发边界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49.96</w:t>
      </w:r>
      <w:r>
        <w:rPr>
          <w:rFonts w:hint="eastAsia" w:ascii="Times New Roman" w:hAnsi="Times New Roman" w:eastAsia="仿宋_GB2312"/>
          <w:sz w:val="30"/>
          <w:szCs w:val="30"/>
        </w:rPr>
        <w:t>公顷。</w:t>
      </w:r>
    </w:p>
    <w:p w14:paraId="1E4EE50F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村庄建设边界。</w:t>
      </w:r>
      <w:r>
        <w:rPr>
          <w:rFonts w:hint="eastAsia" w:ascii="Times New Roman" w:hAnsi="Times New Roman" w:eastAsia="仿宋_GB2312"/>
          <w:sz w:val="30"/>
          <w:szCs w:val="30"/>
          <w:highlight w:val="none"/>
          <w:lang w:eastAsia="zh-CN"/>
        </w:rPr>
        <w:t>扎西岗</w:t>
      </w:r>
      <w:r>
        <w:rPr>
          <w:rFonts w:hint="eastAsia" w:ascii="Times New Roman" w:hAnsi="Times New Roman" w:eastAsia="仿宋_GB2312"/>
          <w:sz w:val="30"/>
          <w:szCs w:val="30"/>
          <w:highlight w:val="none"/>
        </w:rPr>
        <w:t>村共划定村庄建设边界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23.22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41504CBB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国土空间用地结构优化</w:t>
      </w:r>
    </w:p>
    <w:p w14:paraId="40A76BFD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农用地优化。结合农业发展要求，统筹安排耕地、园地、林地等各类农用地，适当调整农用地结构。至规划期末，农用地面积</w:t>
      </w:r>
      <w:r>
        <w:rPr>
          <w:rFonts w:hint="eastAsia" w:ascii="Times New Roman" w:hAnsi="Times New Roman" w:eastAsia="仿宋_GB2312"/>
          <w:bCs/>
          <w:sz w:val="30"/>
          <w:szCs w:val="30"/>
          <w:lang w:val="en-US" w:eastAsia="zh-CN"/>
        </w:rPr>
        <w:t>21794.61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580BDA9B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建设用地优化。按照“底线约束、节约集约、盘活存量、严控增量”要求，依法保障农村住房建设需求，统筹考虑生活服务配套设施完善和产业发展用地需求。至规划期末，建设用地面积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98.77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148D64C0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未利用地优化。至规划期末，未利用地面积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6501.8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48F9ABA4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规划主要图纸</w:t>
      </w:r>
    </w:p>
    <w:p w14:paraId="0C266717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7A474CF6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6B592A19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1ACDDE0B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31CBB339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3FBB696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38FACD53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E7AF4E2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56AD6FF3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5C1291C5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685EF5C5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4792681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239BE80B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33E37062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7347B6F0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1663B695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7C0BC18D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A3BA029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746387CD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EECBAA1">
      <w:pPr>
        <w:rPr>
          <w:rStyle w:val="17"/>
        </w:rPr>
        <w:sectPr>
          <w:footerReference r:id="rId5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  <w:r>
        <w:rPr>
          <w:rStyle w:val="17"/>
        </w:rPr>
        <w:br w:type="page"/>
      </w:r>
    </w:p>
    <w:p w14:paraId="1721F526">
      <w:pPr>
        <w:jc w:val="center"/>
        <w:rPr>
          <w:rStyle w:val="17"/>
          <w:rFonts w:hint="eastAsia" w:eastAsia="等线"/>
          <w:lang w:eastAsia="zh-CN"/>
        </w:rPr>
      </w:pP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7791450" cy="5507990"/>
            <wp:effectExtent l="0" t="0" r="11430" b="8890"/>
            <wp:docPr id="3" name="图片 3" descr="巴宜区鲁朗镇扎西岗村“多规合一”实用性村庄规划（2024-2035年）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巴宜区鲁朗镇扎西岗村“多规合一”实用性村庄规划（2024-2035年）_7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7791450" cy="5507990"/>
            <wp:effectExtent l="0" t="0" r="11430" b="8890"/>
            <wp:docPr id="2" name="图片 2" descr="巴宜区鲁朗镇扎西岗村“多规合一”实用性村庄规划（2024-2035年）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巴宜区鲁朗镇扎西岗村“多规合一”实用性村庄规划（2024-2035年）_7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0923A">
      <w:pPr>
        <w:widowControl w:val="0"/>
        <w:numPr>
          <w:ilvl w:val="0"/>
          <w:numId w:val="0"/>
        </w:numPr>
        <w:jc w:val="both"/>
        <w:rPr>
          <w:rStyle w:val="17"/>
          <w:rFonts w:hint="eastAsia" w:eastAsia="等线"/>
          <w:lang w:eastAsia="zh-CN"/>
        </w:rPr>
        <w:sectPr>
          <w:pgSz w:w="16838" w:h="11906" w:orient="landscape"/>
          <w:pgMar w:top="1800" w:right="1440" w:bottom="1800" w:left="1440" w:header="851" w:footer="992" w:gutter="0"/>
          <w:pgNumType w:fmt="decimal"/>
          <w:cols w:space="425" w:num="1"/>
          <w:docGrid w:type="lines" w:linePitch="312" w:charSpace="0"/>
        </w:sectPr>
      </w:pPr>
    </w:p>
    <w:p w14:paraId="17EB99E5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巴宜区</w:t>
      </w:r>
      <w:r>
        <w:rPr>
          <w:rFonts w:hint="eastAsia" w:ascii="Times New Roman" w:hAnsi="Times New Roman" w:eastAsia="仿宋_GB2312"/>
          <w:b/>
          <w:bCs/>
          <w:sz w:val="32"/>
          <w:szCs w:val="30"/>
          <w:lang w:eastAsia="zh-CN"/>
        </w:rPr>
        <w:t>鲁朗</w:t>
      </w:r>
      <w:r>
        <w:rPr>
          <w:rFonts w:ascii="Times New Roman" w:hAnsi="Times New Roman" w:eastAsia="仿宋_GB2312"/>
          <w:b/>
          <w:bCs/>
          <w:sz w:val="32"/>
          <w:szCs w:val="30"/>
        </w:rPr>
        <w:t>镇</w:t>
      </w:r>
      <w:r>
        <w:rPr>
          <w:rFonts w:hint="eastAsia" w:ascii="Times New Roman" w:hAnsi="Times New Roman" w:eastAsia="仿宋_GB2312"/>
          <w:b/>
          <w:bCs/>
          <w:sz w:val="32"/>
          <w:szCs w:val="30"/>
          <w:lang w:eastAsia="zh-CN"/>
        </w:rPr>
        <w:t>洛木</w:t>
      </w:r>
      <w:r>
        <w:rPr>
          <w:rFonts w:ascii="Times New Roman" w:hAnsi="Times New Roman" w:eastAsia="仿宋_GB2312"/>
          <w:b/>
          <w:bCs/>
          <w:sz w:val="32"/>
          <w:szCs w:val="30"/>
        </w:rPr>
        <w:t>村“多规合一”实用性村庄规划</w:t>
      </w:r>
    </w:p>
    <w:p w14:paraId="1BFF9522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（2024-2035年）</w:t>
      </w:r>
    </w:p>
    <w:p w14:paraId="103DCFB9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规划范围</w:t>
      </w:r>
    </w:p>
    <w:p w14:paraId="1AE88EFD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本次规划范围为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鲁朗</w:t>
      </w:r>
      <w:r>
        <w:rPr>
          <w:rFonts w:ascii="Times New Roman" w:hAnsi="Times New Roman" w:eastAsia="仿宋_GB2312"/>
          <w:sz w:val="30"/>
          <w:szCs w:val="30"/>
        </w:rPr>
        <w:t>镇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洛木</w:t>
      </w:r>
      <w:r>
        <w:rPr>
          <w:rFonts w:ascii="Times New Roman" w:hAnsi="Times New Roman" w:eastAsia="仿宋_GB2312"/>
          <w:sz w:val="30"/>
          <w:szCs w:val="30"/>
        </w:rPr>
        <w:t>村村域全部国土空间，规划总面积</w:t>
      </w:r>
      <w:r>
        <w:rPr>
          <w:rFonts w:hint="eastAsia" w:ascii="Times New Roman" w:hAnsi="Times New Roman" w:eastAsia="仿宋_GB2312"/>
          <w:sz w:val="30"/>
          <w:szCs w:val="30"/>
        </w:rPr>
        <w:t>86512.99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40683B80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规划期限</w:t>
      </w:r>
    </w:p>
    <w:p w14:paraId="63AF6816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本次规划期限为2024-2035年。规划基期年为2023年，目标年为2035年，近期至2030年。</w:t>
      </w:r>
    </w:p>
    <w:p w14:paraId="3079C792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规划定位</w:t>
      </w:r>
    </w:p>
    <w:p w14:paraId="02CB5D13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立足上位规划要求和村庄资源禀赋基础，推动藏猪、松茸、灵芝等高原林下资源产业扩面提质。综合确定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洛木</w:t>
      </w:r>
      <w:r>
        <w:rPr>
          <w:rFonts w:ascii="Times New Roman" w:hAnsi="Times New Roman" w:eastAsia="仿宋_GB2312"/>
          <w:sz w:val="30"/>
          <w:szCs w:val="30"/>
        </w:rPr>
        <w:t>村规划定位为：尼洋河岸农牧旅融合发展的宜居村庄。</w:t>
      </w:r>
    </w:p>
    <w:p w14:paraId="7B4F3049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底线约束</w:t>
      </w:r>
    </w:p>
    <w:p w14:paraId="17684AB8">
      <w:pPr>
        <w:ind w:firstLine="600" w:firstLineChars="200"/>
        <w:rPr>
          <w:rFonts w:hint="eastAsia"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耕地保护目标。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洛木</w:t>
      </w:r>
      <w:r>
        <w:rPr>
          <w:rFonts w:hint="eastAsia" w:ascii="Times New Roman" w:hAnsi="Times New Roman" w:eastAsia="仿宋_GB2312"/>
          <w:sz w:val="30"/>
          <w:szCs w:val="30"/>
        </w:rPr>
        <w:t>村落实耕地保护目标85.78公顷（1286.7亩）。</w:t>
      </w:r>
    </w:p>
    <w:p w14:paraId="78C7DB33">
      <w:pPr>
        <w:ind w:firstLine="600" w:firstLineChars="200"/>
        <w:rPr>
          <w:rFonts w:hint="eastAsia"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永久基本农田。</w:t>
      </w:r>
      <w:r>
        <w:rPr>
          <w:rFonts w:hint="eastAsia" w:ascii="Times New Roman" w:hAnsi="Times New Roman" w:eastAsia="仿宋_GB2312"/>
          <w:sz w:val="30"/>
          <w:szCs w:val="30"/>
        </w:rPr>
        <w:t>根据自然资源部下发巴宜区永久基本农田核实处置成果，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洛木</w:t>
      </w:r>
      <w:r>
        <w:rPr>
          <w:rFonts w:hint="eastAsia" w:ascii="Times New Roman" w:hAnsi="Times New Roman" w:eastAsia="仿宋_GB2312"/>
          <w:sz w:val="30"/>
          <w:szCs w:val="30"/>
        </w:rPr>
        <w:t>村落实永久基本农田保护任务83.33公顷（1249.95亩）。</w:t>
      </w:r>
    </w:p>
    <w:p w14:paraId="6C539F6C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生态保护红线。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洛木</w:t>
      </w:r>
      <w:r>
        <w:rPr>
          <w:rFonts w:hint="eastAsia" w:ascii="Times New Roman" w:hAnsi="Times New Roman" w:eastAsia="仿宋_GB2312"/>
          <w:sz w:val="30"/>
          <w:szCs w:val="30"/>
        </w:rPr>
        <w:t>村落实生态保护红线85472.48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4CD81F80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村庄建设边界。</w:t>
      </w:r>
      <w:r>
        <w:rPr>
          <w:rFonts w:hint="eastAsia" w:ascii="Times New Roman" w:hAnsi="Times New Roman" w:eastAsia="仿宋_GB2312"/>
          <w:sz w:val="30"/>
          <w:szCs w:val="30"/>
          <w:highlight w:val="none"/>
          <w:lang w:eastAsia="zh-CN"/>
        </w:rPr>
        <w:t>洛木</w:t>
      </w:r>
      <w:r>
        <w:rPr>
          <w:rFonts w:hint="eastAsia" w:ascii="Times New Roman" w:hAnsi="Times New Roman" w:eastAsia="仿宋_GB2312"/>
          <w:sz w:val="30"/>
          <w:szCs w:val="30"/>
          <w:highlight w:val="none"/>
        </w:rPr>
        <w:t>村共划定村庄建设边界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3.73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558C7644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</w:p>
    <w:p w14:paraId="205A866B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国土空间用地结构优化</w:t>
      </w:r>
    </w:p>
    <w:p w14:paraId="4ED3F6B4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农用地优化。结合农业发展要求，统筹安排耕地、园地、林地等各类农用地，适当调整农用地结构。至规划期末，农用地面积</w:t>
      </w:r>
      <w:r>
        <w:rPr>
          <w:rFonts w:hint="eastAsia" w:ascii="Times New Roman" w:hAnsi="Times New Roman" w:eastAsia="仿宋_GB2312"/>
          <w:bCs/>
          <w:sz w:val="30"/>
          <w:szCs w:val="30"/>
          <w:lang w:val="en-US" w:eastAsia="zh-CN"/>
        </w:rPr>
        <w:t>40079.36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59626787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建设用地优化。按照“底线约束、节约集约、盘活存量、严控增量”要求，依法保障农村住房建设需求，统筹考虑生活服务配套设施完善和产业发展用地需求。至规划期末，建设用地面积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11.57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4BC29CC1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未利用地优化。至规划期末，未利用地面积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46422.06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474C3097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规划主要图纸</w:t>
      </w:r>
    </w:p>
    <w:p w14:paraId="38EF5959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A6728A7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9C2E13C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69468786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0D67BDB9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41160A3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2A104398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6941D02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3B27E8B5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435B732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521F2C55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6B07E151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5B099DA3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6EED9E1D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5DC14C0A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64BE8EFF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2F1A264A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687F7CD9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7D412C12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155EC1F3">
      <w:pPr>
        <w:rPr>
          <w:rStyle w:val="17"/>
        </w:rPr>
        <w:sectPr>
          <w:footerReference r:id="rId6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  <w:r>
        <w:rPr>
          <w:rStyle w:val="17"/>
        </w:rPr>
        <w:br w:type="page"/>
      </w:r>
    </w:p>
    <w:p w14:paraId="58D7F11A">
      <w:pPr>
        <w:jc w:val="center"/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sectPr>
          <w:pgSz w:w="16838" w:h="11906" w:orient="landscape"/>
          <w:pgMar w:top="1800" w:right="1440" w:bottom="1800" w:left="1440" w:header="851" w:footer="992" w:gutter="0"/>
          <w:pgNumType w:fmt="decimal"/>
          <w:cols w:space="425" w:num="1"/>
          <w:docGrid w:type="lines" w:linePitch="312" w:charSpace="0"/>
        </w:sectPr>
      </w:pP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7791450" cy="5507990"/>
            <wp:effectExtent l="0" t="0" r="11430" b="8890"/>
            <wp:docPr id="13" name="图片 13" descr="巴宜区鲁朗镇洛木村“多规合一”实用性村庄规划（2024-2035年）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巴宜区鲁朗镇洛木村“多规合一”实用性村庄规划（2024-2035年）_6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7791450" cy="5507990"/>
            <wp:effectExtent l="0" t="0" r="11430" b="8890"/>
            <wp:docPr id="14" name="图片 14" descr="巴宜区鲁朗镇洛木村“多规合一”实用性村庄规划（2024-2035年）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巴宜区鲁朗镇洛木村“多规合一”实用性村庄规划（2024-2035年）_7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88297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bookmarkStart w:id="4" w:name="_GoBack"/>
      <w:bookmarkEnd w:id="4"/>
      <w:r>
        <w:rPr>
          <w:rFonts w:ascii="Times New Roman" w:hAnsi="Times New Roman" w:eastAsia="仿宋_GB2312"/>
          <w:b/>
          <w:bCs/>
          <w:sz w:val="32"/>
          <w:szCs w:val="30"/>
        </w:rPr>
        <w:t>巴宜区</w:t>
      </w:r>
      <w:r>
        <w:rPr>
          <w:rFonts w:hint="eastAsia" w:ascii="Times New Roman" w:hAnsi="Times New Roman" w:eastAsia="仿宋_GB2312"/>
          <w:b/>
          <w:bCs/>
          <w:sz w:val="32"/>
          <w:szCs w:val="30"/>
          <w:lang w:eastAsia="zh-CN"/>
        </w:rPr>
        <w:t>鲁朗</w:t>
      </w:r>
      <w:r>
        <w:rPr>
          <w:rFonts w:ascii="Times New Roman" w:hAnsi="Times New Roman" w:eastAsia="仿宋_GB2312"/>
          <w:b/>
          <w:bCs/>
          <w:sz w:val="32"/>
          <w:szCs w:val="30"/>
        </w:rPr>
        <w:t>镇</w:t>
      </w:r>
      <w:r>
        <w:rPr>
          <w:rFonts w:hint="eastAsia" w:ascii="Times New Roman" w:hAnsi="Times New Roman" w:eastAsia="仿宋_GB2312"/>
          <w:b/>
          <w:bCs/>
          <w:sz w:val="32"/>
          <w:szCs w:val="30"/>
          <w:lang w:eastAsia="zh-CN"/>
        </w:rPr>
        <w:t>罗布</w:t>
      </w:r>
      <w:r>
        <w:rPr>
          <w:rFonts w:ascii="Times New Roman" w:hAnsi="Times New Roman" w:eastAsia="仿宋_GB2312"/>
          <w:b/>
          <w:bCs/>
          <w:sz w:val="32"/>
          <w:szCs w:val="30"/>
        </w:rPr>
        <w:t>村“多规合一”实用性村庄规划</w:t>
      </w:r>
    </w:p>
    <w:p w14:paraId="5414B591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（2024-2035年）</w:t>
      </w:r>
    </w:p>
    <w:p w14:paraId="60886016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规划范围</w:t>
      </w:r>
    </w:p>
    <w:p w14:paraId="59E8921A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本次规划范围为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鲁朗</w:t>
      </w:r>
      <w:r>
        <w:rPr>
          <w:rFonts w:ascii="Times New Roman" w:hAnsi="Times New Roman" w:eastAsia="仿宋_GB2312"/>
          <w:sz w:val="30"/>
          <w:szCs w:val="30"/>
        </w:rPr>
        <w:t>镇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罗布</w:t>
      </w:r>
      <w:r>
        <w:rPr>
          <w:rFonts w:ascii="Times New Roman" w:hAnsi="Times New Roman" w:eastAsia="仿宋_GB2312"/>
          <w:sz w:val="30"/>
          <w:szCs w:val="30"/>
        </w:rPr>
        <w:t>村村域全部国土空间，规划总面积</w:t>
      </w:r>
      <w:r>
        <w:rPr>
          <w:rFonts w:hint="eastAsia" w:ascii="Times New Roman" w:hAnsi="Times New Roman" w:eastAsia="仿宋_GB2312"/>
          <w:sz w:val="30"/>
          <w:szCs w:val="30"/>
        </w:rPr>
        <w:t>14425.3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1E3A9833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规划期限</w:t>
      </w:r>
    </w:p>
    <w:p w14:paraId="5D011F4A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本次规划期限为2024-2035年。规划基期年为2023年，目标年为2035年，近期至2030年。</w:t>
      </w:r>
    </w:p>
    <w:p w14:paraId="0FBD5C34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规划定位</w:t>
      </w:r>
    </w:p>
    <w:p w14:paraId="4B8E26F1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为契合上位规划及文件相关要求，依托高原自然生态环境、 鲁朗国际旅游小镇和藏式传统村落格局，结合地域文化民俗，望 果节、响箭、骑马和工布新年等，以及打造的旅游品牌，家庭旅 馆、网红民宿等，融合现代休闲体验方式等，致力于将罗布村打 造成鲁朗镇乡村旅游目的地。</w:t>
      </w:r>
    </w:p>
    <w:p w14:paraId="59CE682C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底线约束</w:t>
      </w:r>
    </w:p>
    <w:p w14:paraId="30AB6E0B">
      <w:pPr>
        <w:ind w:firstLine="600" w:firstLineChars="200"/>
        <w:rPr>
          <w:rFonts w:hint="eastAsia"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耕地保护目标。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罗布</w:t>
      </w:r>
      <w:r>
        <w:rPr>
          <w:rFonts w:hint="eastAsia" w:ascii="Times New Roman" w:hAnsi="Times New Roman" w:eastAsia="仿宋_GB2312"/>
          <w:sz w:val="30"/>
          <w:szCs w:val="30"/>
        </w:rPr>
        <w:t>村落实耕地保护目标183.97公顷（2759.55亩）。</w:t>
      </w:r>
    </w:p>
    <w:p w14:paraId="290FB3AC">
      <w:pPr>
        <w:ind w:firstLine="600" w:firstLineChars="200"/>
        <w:rPr>
          <w:rFonts w:hint="eastAsia"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永久基本农田。</w:t>
      </w:r>
      <w:r>
        <w:rPr>
          <w:rFonts w:hint="eastAsia" w:ascii="Times New Roman" w:hAnsi="Times New Roman" w:eastAsia="仿宋_GB2312"/>
          <w:sz w:val="30"/>
          <w:szCs w:val="30"/>
        </w:rPr>
        <w:t>根据自然资源部下发巴宜区永久基本农田核实处置成果，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罗布</w:t>
      </w:r>
      <w:r>
        <w:rPr>
          <w:rFonts w:hint="eastAsia" w:ascii="Times New Roman" w:hAnsi="Times New Roman" w:eastAsia="仿宋_GB2312"/>
          <w:sz w:val="30"/>
          <w:szCs w:val="30"/>
        </w:rPr>
        <w:t>村落实永久基本农田保护任务31.01公顷（465.15亩）。</w:t>
      </w:r>
    </w:p>
    <w:p w14:paraId="4F25992D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生态保护红线。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</w:t>
      </w:r>
      <w:r>
        <w:rPr>
          <w:rFonts w:hint="eastAsia" w:ascii="Times New Roman" w:hAnsi="Times New Roman" w:eastAsia="仿宋_GB2312"/>
          <w:sz w:val="30"/>
          <w:szCs w:val="30"/>
          <w:lang w:eastAsia="zh-CN"/>
        </w:rPr>
        <w:t>罗布</w:t>
      </w:r>
      <w:r>
        <w:rPr>
          <w:rFonts w:hint="eastAsia" w:ascii="Times New Roman" w:hAnsi="Times New Roman" w:eastAsia="仿宋_GB2312"/>
          <w:sz w:val="30"/>
          <w:szCs w:val="30"/>
        </w:rPr>
        <w:t>村落实生态保护红线13770.46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47F45771">
      <w:pPr>
        <w:ind w:firstLine="600" w:firstLineChars="200"/>
        <w:rPr>
          <w:rFonts w:hint="eastAsia" w:ascii="Times New Roman" w:hAnsi="Times New Roman" w:eastAsia="仿宋_GB2312"/>
          <w:sz w:val="30"/>
          <w:szCs w:val="30"/>
        </w:rPr>
      </w:pPr>
      <w:r>
        <w:rPr>
          <w:rFonts w:hint="eastAsia" w:ascii="Times New Roman" w:hAnsi="Times New Roman" w:eastAsia="仿宋_GB2312"/>
          <w:sz w:val="30"/>
          <w:szCs w:val="30"/>
        </w:rPr>
        <w:t>城镇开发边界。根据巴宜区“三区三线”划定成果，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罗布</w:t>
      </w:r>
      <w:r>
        <w:rPr>
          <w:rFonts w:hint="eastAsia" w:ascii="Times New Roman" w:hAnsi="Times New Roman" w:eastAsia="仿宋_GB2312"/>
          <w:sz w:val="30"/>
          <w:szCs w:val="30"/>
        </w:rPr>
        <w:t>村落实城镇开发边界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46.33</w:t>
      </w:r>
      <w:r>
        <w:rPr>
          <w:rFonts w:hint="eastAsia" w:ascii="Times New Roman" w:hAnsi="Times New Roman" w:eastAsia="仿宋_GB2312"/>
          <w:sz w:val="30"/>
          <w:szCs w:val="30"/>
        </w:rPr>
        <w:t>公顷。</w:t>
      </w:r>
    </w:p>
    <w:p w14:paraId="4DE5AA3E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村庄建设边界。</w:t>
      </w:r>
      <w:r>
        <w:rPr>
          <w:rFonts w:hint="eastAsia" w:ascii="Times New Roman" w:hAnsi="Times New Roman" w:eastAsia="仿宋_GB2312"/>
          <w:sz w:val="30"/>
          <w:szCs w:val="30"/>
          <w:highlight w:val="none"/>
          <w:lang w:eastAsia="zh-CN"/>
        </w:rPr>
        <w:t>罗布</w:t>
      </w:r>
      <w:r>
        <w:rPr>
          <w:rFonts w:hint="eastAsia" w:ascii="Times New Roman" w:hAnsi="Times New Roman" w:eastAsia="仿宋_GB2312"/>
          <w:sz w:val="30"/>
          <w:szCs w:val="30"/>
          <w:highlight w:val="none"/>
        </w:rPr>
        <w:t>村共划定村庄建设边界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11.88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1593DEC3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国土空间用地结构优化</w:t>
      </w:r>
    </w:p>
    <w:p w14:paraId="622C4BD4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农用地优化。结合农业发展要求，统筹安排耕地、园地、林地等各类农用地，适当调整农用地结构。至规划期末，农用地面积</w:t>
      </w:r>
      <w:r>
        <w:rPr>
          <w:rFonts w:hint="eastAsia" w:ascii="Times New Roman" w:hAnsi="Times New Roman" w:eastAsia="仿宋_GB2312"/>
          <w:bCs/>
          <w:sz w:val="30"/>
          <w:szCs w:val="30"/>
          <w:lang w:val="en-US" w:eastAsia="zh-CN"/>
        </w:rPr>
        <w:t>11490.24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1342F4DD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建设用地优化。按照“底线约束、节约集约、盘活存量、严控增量”要求，依法保障农村住房建设需求，统筹考虑生活服务配套设施完善和产业发展用地需求。至规划期末，建设用地面积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25.67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01A04491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未利用地优化。至规划期末，未利用地面积</w:t>
      </w:r>
      <w:r>
        <w:rPr>
          <w:rFonts w:hint="eastAsia" w:ascii="Times New Roman" w:hAnsi="Times New Roman" w:eastAsia="仿宋_GB2312"/>
          <w:sz w:val="30"/>
          <w:szCs w:val="30"/>
          <w:lang w:val="en-US" w:eastAsia="zh-CN"/>
        </w:rPr>
        <w:t>2863.06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268681F9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规划主要图纸</w:t>
      </w:r>
    </w:p>
    <w:p w14:paraId="472EA9E9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77B84FB9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79FA947F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56DC7B4B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7BABA0AA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0A6B4C62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1EBFC528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755A212D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2608C57C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7268D439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2C6C3CD3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212E86A4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666C66E1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22128F28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1CC02829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007ECDB9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0A1DB24F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41B4E672">
      <w:pPr>
        <w:widowControl w:val="0"/>
        <w:numPr>
          <w:ilvl w:val="0"/>
          <w:numId w:val="0"/>
        </w:numPr>
        <w:jc w:val="both"/>
        <w:rPr>
          <w:rStyle w:val="17"/>
        </w:rPr>
      </w:pPr>
    </w:p>
    <w:p w14:paraId="7D34F923">
      <w:pPr>
        <w:rPr>
          <w:rStyle w:val="17"/>
        </w:rPr>
        <w:sectPr>
          <w:footerReference r:id="rId7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</w:p>
    <w:p w14:paraId="7587D13A">
      <w:pPr>
        <w:jc w:val="center"/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</w:pP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7791450" cy="5507990"/>
            <wp:effectExtent l="0" t="0" r="11430" b="8890"/>
            <wp:docPr id="16" name="图片 16" descr="巴宜区鲁朗镇罗布村“多规合一”实用性村庄规划（2024-2035年）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巴宜区鲁朗镇罗布村“多规合一”实用性村庄规划（2024-2035年）_7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7791450" cy="5507990"/>
            <wp:effectExtent l="0" t="0" r="11430" b="8890"/>
            <wp:docPr id="17" name="图片 17" descr="巴宜区鲁朗镇罗布村“多规合一”实用性村庄规划（2024-2035年）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巴宜区鲁朗镇罗布村“多规合一”实用性村庄规划（2024-2035年）_7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1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00000001" w:usb1="080E0000" w:usb2="00000000" w:usb3="00000000" w:csb0="00040000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1" w:fontKey="{8CBC0707-7217-4453-8230-2C4BC282CCEB}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2" w:fontKey="{5C8C4510-09E4-46C7-95F0-CF0B7BCA2803}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C5C149">
    <w:pPr>
      <w:tabs>
        <w:tab w:val="center" w:pos="4153"/>
        <w:tab w:val="right" w:pos="8306"/>
      </w:tabs>
      <w:snapToGrid w:val="0"/>
      <w:jc w:val="left"/>
      <w:rPr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" name="文本框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D6A024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bVWnMqAgAAVQQAAA4AAABkcnMvZTJvRG9jLnhtbK1UzY7TMBC+I/EO&#10;lu80bRFVVTVdla2KkCp2pQVxdh2nieQ/2W6T8gDwBpy4cOe5+hx8dpIuWjjsgYsz9oy/8ffNTJY3&#10;rZLkJJyvjc7pZDSmRGhuilofcvrp4/bVnBIfmC6YNFrk9Cw8vVm9fLFs7EJMTWVkIRwBiPaLxua0&#10;CsEusszzSijmR8YKDWdpnGIBW3fICscaoCuZTcfjWdYYV1hnuPAep5vOSXtE9xxAU5Y1FxvDj0ro&#10;0KE6IVkAJV/V1tNVem1ZCh7uytKLQGROwTSkFUlg7+OarZZscXDMVjXvn8Ce84QnnBSrNZJeoTYs&#10;MHJ09V9QqubOeFOGETcq64gkRcBiMn6izUPFrEhcILW3V9H9/4PlH073jtRFTmeUaKZQ8Mv3b5cf&#10;vy4/v5JZlKexfoGoB4u40L41LZpmOPc4jKzb0qn4BR8CP8Q9X8UVbSA8XppP5/MxXBy+YQP87PG6&#10;dT68E0aRaOTUoXpJVHba+dCFDiExmzbbWspUQalJAwqv34zThasH4FIjRyTRPTZaod23PbO9Kc4g&#10;5kzXGd7ybY3kO+bDPXNoBTwYwxLusJTSIInpLUoq47786zzGo0LwUtKgtXKqMUmUyPcalQNgGAw3&#10;GPvB0Ed1a9CrEwyh5cnEBRfkYJbOqM+YoHXMARfTHJlyGgbzNnTtjQnkYr1OQeg1y8JOP1geoaN4&#10;3q6PAQImXaMonRK9Vui2VJl+MmI7/7lPUY9/g9Vv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s0lY&#10;7tAAAAAFAQAADwAAAAAAAAABACAAAAAiAAAAZHJzL2Rvd25yZXYueG1sUEsBAhQAFAAAAAgAh07i&#10;QCbVWnMqAgAAVQQAAA4AAAAAAAAAAQAgAAAAHwEAAGRycy9lMm9Eb2MueG1sUEsFBgAAAAAGAAYA&#10;WQEAALs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AD6A024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376F2A">
    <w:pPr>
      <w:tabs>
        <w:tab w:val="center" w:pos="4153"/>
        <w:tab w:val="right" w:pos="8306"/>
      </w:tabs>
      <w:snapToGrid w:val="0"/>
      <w:jc w:val="left"/>
      <w:rPr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3EA2947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zXDnwqAgAAV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CLNmWdjqneUROirm&#10;7eoYIGCnaxSlV2LQCtPWdWZ4GXGc/9x3UY9/g+Vv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s0lY&#10;7tAAAAAFAQAADwAAAAAAAAABACAAAAAiAAAAZHJzL2Rvd25yZXYueG1sUEsBAhQAFAAAAAgAh07i&#10;QIzXDnwqAgAAVQQAAA4AAAAAAAAAAQAgAAAAHwEAAGRycy9lMm9Eb2MueG1sUEsFBgAAAAAGAAYA&#10;WQEAALs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3EA2947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A078CC9">
    <w:pPr>
      <w:tabs>
        <w:tab w:val="center" w:pos="4153"/>
        <w:tab w:val="right" w:pos="8306"/>
      </w:tabs>
      <w:snapToGrid w:val="0"/>
      <w:jc w:val="left"/>
      <w:rPr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1" name="文本框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4963282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KQhEwrAgAAVwQAAA4AAABkcnMvZTJvRG9jLnhtbK1UzY7TMBC+I/EO&#10;lu80bRGrqmq6KlsVIVXsSgVxdh2nieQ/2W6T8gDwBpy4cOe5+hx8dpIuWjjsgYsz9oy/me+bcRa3&#10;rZLkJJyvjc7pZDSmRGhuilofcvrp4+bVjBIfmC6YNFrk9Cw8vV2+fLFo7FxMTWVkIRwBiPbzxua0&#10;CsHOs8zzSijmR8YKDWdpnGIBW3fICscaoCuZTcfjm6wxrrDOcOE9Ttedk/aI7jmApixrLtaGH5XQ&#10;oUN1QrIASr6qrafLVG1ZCh7uy9KLQGROwTSkFUlg7+OaLRdsfnDMVjXvS2DPKeEJJ8VqjaRXqDUL&#10;jBxd/ReUqrkz3pRhxI3KOiJJEbCYjJ9os6uYFYkLpPb2Krr/f7D8w+nBkbrAJEwo0Uyh45fv3y4/&#10;fl1+fiU4g0CN9XPE7SwiQ/vWtAgezj0OI++2dCp+wYjAD3nPV3lFGwiPl2bT2WwMF4dv2AA/e7xu&#10;nQ/vhFEkGjl16F+SlZ22PnShQ0jMps2mljL1UGrS5PTm9ZtxunD1AFxq5IgkumKjFdp92zPbm+IM&#10;Ys50s+Et39RIvmU+PDCHYUDBeC7hHkspDZKY3qKkMu7Lv85jPHoELyUNhiunGm+JEvleo3cADIPh&#10;BmM/GPqo7gymFe1ALcnEBRfkYJbOqM94Q6uYAy6mOTLlNAzmXegGHG+Qi9UqBWHaLAtbvbM8Qkfx&#10;vF0dAwRMukZROiV6rTBvqTP924gD/ec+RT3+D5a/A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LNJ&#10;WO7QAAAABQEAAA8AAAAAAAAAAQAgAAAAIgAAAGRycy9kb3ducmV2LnhtbFBLAQIUABQAAAAIAIdO&#10;4kBikIRMKwIAAFcEAAAOAAAAAAAAAAEAIAAAAB8BAABkcnMvZTJvRG9jLnhtbFBLBQYAAAAABgAG&#10;AFkBAAC8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4963282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B7EEDD">
    <w:pPr>
      <w:tabs>
        <w:tab w:val="center" w:pos="4153"/>
        <w:tab w:val="right" w:pos="8306"/>
      </w:tabs>
      <w:snapToGrid w:val="0"/>
      <w:jc w:val="left"/>
      <w:rPr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2" name="文本框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E5B8EFB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pGcYwrAgAAVwQAAA4AAABkcnMvZTJvRG9jLnhtbK1UzY7TMBC+I/EO&#10;lu80bRGrqmq6KlsVIVXsSgVxdh2nieQ/2W6T8gDwBpy4cOe5+hx8dpIuWjjsgYsz9oy/8ffNTBa3&#10;rZLkJJyvjc7pZDSmRGhuilofcvrp4+bVjBIfmC6YNFrk9Cw8vV2+fLFo7FxMTWVkIRwBiPbzxua0&#10;CsHOs8zzSijmR8YKDWdpnGIBW3fICscaoCuZTcfjm6wxrrDOcOE9Ttedk/aI7jmApixrLtaGH5XQ&#10;oUN1QrIASr6qrafL9NqyFDzcl6UXgcicgmlIK5LA3sc1Wy7Y/OCYrWreP4E95wlPOClWayS9Qq1Z&#10;YOTo6r+gVM2d8aYMI25U1hFJioDFZPxEm13FrEhcILW3V9H9/4PlH04PjtQFOmFKiWYKFb98/3b5&#10;8evy8yvBGQRqrJ8jbmcRGdq3pkXwcO5xGHm3pVPxC0YEfsh7vsor2kB4vDSbzmZjuDh8wwb42eN1&#10;63x4J4wi0cipQ/2SrOy09aELHUJiNm02tZSphlKTJqc3r9+M04WrB+BSI0ck0T02WqHdtz2zvSnO&#10;IOZM1xve8k2N5FvmwwNzaAY8GOMS7rGU0iCJ6S1KKuO+/Os8xqNG8FLSoLlyqjFLlMj3GrUDYBgM&#10;Nxj7wdBHdWfQrROMoeXJxAUX5GCWzqjPmKFVzAEX0xyZchoG8y50DY4Z5GK1SkHoNsvCVu8sj9BR&#10;PG9XxwABk65RlE6JXiv0W6pMPxuxof/cp6jH/8HyN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LNJ&#10;WO7QAAAABQEAAA8AAAAAAAAAAQAgAAAAIgAAAGRycy9kb3ducmV2LnhtbFBLAQIUABQAAAAIAIdO&#10;4kCaRnGMKwIAAFcEAAAOAAAAAAAAAAEAIAAAAB8BAABkcnMvZTJvRG9jLnhtbFBLBQYAAAAABgAG&#10;AFkBAAC8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E5B8EFB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AF508E">
    <w:pPr>
      <w:tabs>
        <w:tab w:val="center" w:pos="4153"/>
        <w:tab w:val="right" w:pos="8306"/>
      </w:tabs>
      <w:snapToGrid w:val="0"/>
      <w:jc w:val="left"/>
      <w:rPr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5" name="文本框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2FCF11C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OguJYsAgAAVwQAAA4AAABkcnMvZTJvRG9jLnhtbK1UzY7TMBC+I/EO&#10;lu80bdGuqqrpqmxVhFSxKy2Is+s4TST/yXablAeAN+DEhTvP1efYz07SRQuHPXBxxp7xN/6+mcni&#10;plWSHIXztdE5nYzGlAjNTVHrfU4/f9q8mVHiA9MFk0aLnJ6EpzfL168WjZ2LqamMLIQjANF+3tic&#10;ViHYeZZ5XgnF/MhYoeEsjVMsYOv2WeFYA3Qls+l4fJ01xhXWGS68x+m6c9Ie0b0E0JRlzcXa8IMS&#10;OnSoTkgWQMlXtfV0mV5bloKHu7L0IhCZUzANaUUS2Lu4ZssFm+8ds1XN+yewlzzhGSfFao2kF6g1&#10;C4wcXP0XlKq5M96UYcSNyjoiSRGwmIyfafNQMSsSF0jt7UV0//9g+cfjvSN1gU64okQzhYqff3w/&#10;//x9/vWN4AwCNdbPEfdgERnad6ZF8HDucRh5t6VT8QtGBH7Ie7rIK9pAeLw0m85mY7g4fMMG+NnT&#10;det8eC+MItHIqUP9kqzsuPWhCx1CYjZtNrWUqYZSkyan12+vxunCxQNwqZEjkugeG63Q7tqe2c4U&#10;JxBzpusNb/mmRvIt8+GeOTQDHoxxCXdYSmmQxPQWJZVxX/91HuNRI3gpadBcOdWYJUrkB43aATAM&#10;hhuM3WDog7o16NYJxtDyZOKCC3IwS2fUF8zQKuaAi2mOTDkNg3kbugbHDHKxWqUgdJtlYasfLI/Q&#10;UTxvV4cAAZOuUZROiV4r9FuqTD8bsaH/3Keop//B8h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g6C4liwCAABX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2FCF11C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24D7BFD"/>
    <w:multiLevelType w:val="singleLevel"/>
    <w:tmpl w:val="C24D7BFD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1">
    <w:nsid w:val="C9B98332"/>
    <w:multiLevelType w:val="singleLevel"/>
    <w:tmpl w:val="C9B98332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2">
    <w:nsid w:val="EE679A8C"/>
    <w:multiLevelType w:val="singleLevel"/>
    <w:tmpl w:val="EE679A8C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3">
    <w:nsid w:val="2E9C87C6"/>
    <w:multiLevelType w:val="singleLevel"/>
    <w:tmpl w:val="2E9C87C6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4">
    <w:nsid w:val="50F258EE"/>
    <w:multiLevelType w:val="singleLevel"/>
    <w:tmpl w:val="50F258EE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saveSubsetFonts/>
  <w:bordersDoNotSurroundHeader w:val="0"/>
  <w:bordersDoNotSurroundFooter w:val="0"/>
  <w:documentProtection w:enforcement="0"/>
  <w:defaultTabStop w:val="219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A1N2EzNTc1NmUzYjBjNzM5MjI2ODI1N2ZiMjg1MjAifQ=="/>
  </w:docVars>
  <w:rsids>
    <w:rsidRoot w:val="1B9F7FA2"/>
    <w:rsid w:val="00007AF9"/>
    <w:rsid w:val="000101A3"/>
    <w:rsid w:val="000324F5"/>
    <w:rsid w:val="00052CFD"/>
    <w:rsid w:val="00064411"/>
    <w:rsid w:val="00077349"/>
    <w:rsid w:val="000E0F89"/>
    <w:rsid w:val="000E1128"/>
    <w:rsid w:val="000F6348"/>
    <w:rsid w:val="00113B6C"/>
    <w:rsid w:val="00123AA9"/>
    <w:rsid w:val="00131209"/>
    <w:rsid w:val="00166D33"/>
    <w:rsid w:val="001714A5"/>
    <w:rsid w:val="001A5258"/>
    <w:rsid w:val="001A7157"/>
    <w:rsid w:val="001D7CAE"/>
    <w:rsid w:val="001E1DD1"/>
    <w:rsid w:val="001E6518"/>
    <w:rsid w:val="001F38A8"/>
    <w:rsid w:val="00204D96"/>
    <w:rsid w:val="00222534"/>
    <w:rsid w:val="002576EA"/>
    <w:rsid w:val="00266122"/>
    <w:rsid w:val="002740AE"/>
    <w:rsid w:val="00280408"/>
    <w:rsid w:val="0028074D"/>
    <w:rsid w:val="00284FE8"/>
    <w:rsid w:val="002A6444"/>
    <w:rsid w:val="002A6696"/>
    <w:rsid w:val="002E2033"/>
    <w:rsid w:val="00361D52"/>
    <w:rsid w:val="003C2AE8"/>
    <w:rsid w:val="003C2BFF"/>
    <w:rsid w:val="0041362B"/>
    <w:rsid w:val="00435E80"/>
    <w:rsid w:val="00456AC5"/>
    <w:rsid w:val="00474349"/>
    <w:rsid w:val="0048204F"/>
    <w:rsid w:val="004974A6"/>
    <w:rsid w:val="00497BEE"/>
    <w:rsid w:val="00497D0F"/>
    <w:rsid w:val="004E74A4"/>
    <w:rsid w:val="0052532B"/>
    <w:rsid w:val="0053539D"/>
    <w:rsid w:val="005375F9"/>
    <w:rsid w:val="0056278A"/>
    <w:rsid w:val="00564642"/>
    <w:rsid w:val="00575D9C"/>
    <w:rsid w:val="005A0C92"/>
    <w:rsid w:val="005A489C"/>
    <w:rsid w:val="005A7788"/>
    <w:rsid w:val="005A7A6B"/>
    <w:rsid w:val="005C6D17"/>
    <w:rsid w:val="005C6E13"/>
    <w:rsid w:val="005D3904"/>
    <w:rsid w:val="005E1B8E"/>
    <w:rsid w:val="005E4069"/>
    <w:rsid w:val="006160E3"/>
    <w:rsid w:val="00616632"/>
    <w:rsid w:val="0063164B"/>
    <w:rsid w:val="00641D4A"/>
    <w:rsid w:val="006853FB"/>
    <w:rsid w:val="00687AF3"/>
    <w:rsid w:val="006A05FA"/>
    <w:rsid w:val="006A4FC1"/>
    <w:rsid w:val="006C51C7"/>
    <w:rsid w:val="006D481C"/>
    <w:rsid w:val="006F1623"/>
    <w:rsid w:val="00725CED"/>
    <w:rsid w:val="00731635"/>
    <w:rsid w:val="00745375"/>
    <w:rsid w:val="007608B2"/>
    <w:rsid w:val="00762ADF"/>
    <w:rsid w:val="00766D03"/>
    <w:rsid w:val="007672C7"/>
    <w:rsid w:val="007B0120"/>
    <w:rsid w:val="007B0268"/>
    <w:rsid w:val="007B156B"/>
    <w:rsid w:val="007D3E1E"/>
    <w:rsid w:val="00800FCA"/>
    <w:rsid w:val="008251A5"/>
    <w:rsid w:val="00830EB4"/>
    <w:rsid w:val="00837FEC"/>
    <w:rsid w:val="00851A0D"/>
    <w:rsid w:val="0085208E"/>
    <w:rsid w:val="008863B2"/>
    <w:rsid w:val="00891F76"/>
    <w:rsid w:val="008A3D0F"/>
    <w:rsid w:val="008C1C61"/>
    <w:rsid w:val="008D0AE3"/>
    <w:rsid w:val="008E2D26"/>
    <w:rsid w:val="00925469"/>
    <w:rsid w:val="00942D24"/>
    <w:rsid w:val="009A1C50"/>
    <w:rsid w:val="009C02DF"/>
    <w:rsid w:val="009D257D"/>
    <w:rsid w:val="009D5EDA"/>
    <w:rsid w:val="00A04982"/>
    <w:rsid w:val="00A33569"/>
    <w:rsid w:val="00A77163"/>
    <w:rsid w:val="00AA0C49"/>
    <w:rsid w:val="00AB6766"/>
    <w:rsid w:val="00B0373C"/>
    <w:rsid w:val="00B109ED"/>
    <w:rsid w:val="00B52DDD"/>
    <w:rsid w:val="00B74F3D"/>
    <w:rsid w:val="00BB4834"/>
    <w:rsid w:val="00BC50CD"/>
    <w:rsid w:val="00BD1918"/>
    <w:rsid w:val="00BF1DC2"/>
    <w:rsid w:val="00C07DAA"/>
    <w:rsid w:val="00C157CC"/>
    <w:rsid w:val="00C63426"/>
    <w:rsid w:val="00C738A4"/>
    <w:rsid w:val="00C83642"/>
    <w:rsid w:val="00CA5932"/>
    <w:rsid w:val="00CB0BF0"/>
    <w:rsid w:val="00CB12B8"/>
    <w:rsid w:val="00CC584D"/>
    <w:rsid w:val="00CD4B61"/>
    <w:rsid w:val="00CF1CA2"/>
    <w:rsid w:val="00D03558"/>
    <w:rsid w:val="00D070B0"/>
    <w:rsid w:val="00D3787C"/>
    <w:rsid w:val="00D75E10"/>
    <w:rsid w:val="00DA75BE"/>
    <w:rsid w:val="00DB27D1"/>
    <w:rsid w:val="00DD1F24"/>
    <w:rsid w:val="00DD6764"/>
    <w:rsid w:val="00DE5C83"/>
    <w:rsid w:val="00E047E7"/>
    <w:rsid w:val="00E23533"/>
    <w:rsid w:val="00E51794"/>
    <w:rsid w:val="00E84A34"/>
    <w:rsid w:val="00E92B66"/>
    <w:rsid w:val="00E97877"/>
    <w:rsid w:val="00EC6938"/>
    <w:rsid w:val="00EE2416"/>
    <w:rsid w:val="00F23B20"/>
    <w:rsid w:val="00F32AB1"/>
    <w:rsid w:val="00F35D14"/>
    <w:rsid w:val="00F426EB"/>
    <w:rsid w:val="00F7257B"/>
    <w:rsid w:val="00F824BB"/>
    <w:rsid w:val="00FA2D62"/>
    <w:rsid w:val="00FB2387"/>
    <w:rsid w:val="00FB5B18"/>
    <w:rsid w:val="00FE2250"/>
    <w:rsid w:val="00FE412D"/>
    <w:rsid w:val="00FF202F"/>
    <w:rsid w:val="00FF2A39"/>
    <w:rsid w:val="00FF5699"/>
    <w:rsid w:val="01995B0E"/>
    <w:rsid w:val="01A152EF"/>
    <w:rsid w:val="021A430B"/>
    <w:rsid w:val="034E3E75"/>
    <w:rsid w:val="049E6D64"/>
    <w:rsid w:val="04EE51E1"/>
    <w:rsid w:val="06BA7F39"/>
    <w:rsid w:val="06D25D4A"/>
    <w:rsid w:val="073E14BF"/>
    <w:rsid w:val="07792C31"/>
    <w:rsid w:val="07B83857"/>
    <w:rsid w:val="080E65BB"/>
    <w:rsid w:val="08F10D5D"/>
    <w:rsid w:val="0C6B5239"/>
    <w:rsid w:val="0CE21FEB"/>
    <w:rsid w:val="0CEF76F0"/>
    <w:rsid w:val="0F3020DD"/>
    <w:rsid w:val="0F8971C2"/>
    <w:rsid w:val="0FCC1F80"/>
    <w:rsid w:val="101D0380"/>
    <w:rsid w:val="106D4085"/>
    <w:rsid w:val="110E3C53"/>
    <w:rsid w:val="115630D4"/>
    <w:rsid w:val="1159361F"/>
    <w:rsid w:val="115D4733"/>
    <w:rsid w:val="1170203B"/>
    <w:rsid w:val="13724144"/>
    <w:rsid w:val="14F41582"/>
    <w:rsid w:val="15566BA7"/>
    <w:rsid w:val="156D2E30"/>
    <w:rsid w:val="1697764D"/>
    <w:rsid w:val="16CE5FB5"/>
    <w:rsid w:val="17E94C03"/>
    <w:rsid w:val="18090937"/>
    <w:rsid w:val="19515D85"/>
    <w:rsid w:val="198A0CA2"/>
    <w:rsid w:val="19D454DE"/>
    <w:rsid w:val="19E73463"/>
    <w:rsid w:val="1A0400FA"/>
    <w:rsid w:val="1A904AE5"/>
    <w:rsid w:val="1B740D26"/>
    <w:rsid w:val="1B9F7FA2"/>
    <w:rsid w:val="1BB26286"/>
    <w:rsid w:val="1D863B00"/>
    <w:rsid w:val="1E0A2EE3"/>
    <w:rsid w:val="1E952F81"/>
    <w:rsid w:val="1E9670FF"/>
    <w:rsid w:val="20CD02BF"/>
    <w:rsid w:val="21703535"/>
    <w:rsid w:val="21706C2F"/>
    <w:rsid w:val="21D018F5"/>
    <w:rsid w:val="22AA0DEA"/>
    <w:rsid w:val="22DA6D08"/>
    <w:rsid w:val="22F36D09"/>
    <w:rsid w:val="24DC7170"/>
    <w:rsid w:val="25EC00A6"/>
    <w:rsid w:val="27251964"/>
    <w:rsid w:val="27892BA5"/>
    <w:rsid w:val="280E5782"/>
    <w:rsid w:val="281E05DA"/>
    <w:rsid w:val="2890116A"/>
    <w:rsid w:val="29587BD4"/>
    <w:rsid w:val="2AAA1B21"/>
    <w:rsid w:val="2B091083"/>
    <w:rsid w:val="2D4D587B"/>
    <w:rsid w:val="2D7B5F44"/>
    <w:rsid w:val="2F61560E"/>
    <w:rsid w:val="2F766A4B"/>
    <w:rsid w:val="2FAB1145"/>
    <w:rsid w:val="2FF267C4"/>
    <w:rsid w:val="32343AAE"/>
    <w:rsid w:val="330C5891"/>
    <w:rsid w:val="330F71A0"/>
    <w:rsid w:val="3324764B"/>
    <w:rsid w:val="342E203B"/>
    <w:rsid w:val="34683A7D"/>
    <w:rsid w:val="35911F07"/>
    <w:rsid w:val="362F3572"/>
    <w:rsid w:val="366D1A51"/>
    <w:rsid w:val="36723C5D"/>
    <w:rsid w:val="36FE7D60"/>
    <w:rsid w:val="371B42F4"/>
    <w:rsid w:val="39EF61A2"/>
    <w:rsid w:val="3A1C460B"/>
    <w:rsid w:val="3A48719A"/>
    <w:rsid w:val="3A6B2FDE"/>
    <w:rsid w:val="3B675D5A"/>
    <w:rsid w:val="3BBE3D1E"/>
    <w:rsid w:val="3BF0591B"/>
    <w:rsid w:val="3D2A35EE"/>
    <w:rsid w:val="3D8A7657"/>
    <w:rsid w:val="3DBF59D9"/>
    <w:rsid w:val="3EDC6A5F"/>
    <w:rsid w:val="413C7D3D"/>
    <w:rsid w:val="416A613D"/>
    <w:rsid w:val="422A035E"/>
    <w:rsid w:val="42A223B2"/>
    <w:rsid w:val="42EC523D"/>
    <w:rsid w:val="437F6C16"/>
    <w:rsid w:val="43BC1124"/>
    <w:rsid w:val="44A65B45"/>
    <w:rsid w:val="453269EA"/>
    <w:rsid w:val="45EE3170"/>
    <w:rsid w:val="469052F8"/>
    <w:rsid w:val="4692063B"/>
    <w:rsid w:val="479223B1"/>
    <w:rsid w:val="4800731A"/>
    <w:rsid w:val="482A6E0B"/>
    <w:rsid w:val="4845558C"/>
    <w:rsid w:val="49D92320"/>
    <w:rsid w:val="49DA0AA2"/>
    <w:rsid w:val="4AE051E1"/>
    <w:rsid w:val="4AFF1B0B"/>
    <w:rsid w:val="4BA204F6"/>
    <w:rsid w:val="4E1233DB"/>
    <w:rsid w:val="4E1C5BD0"/>
    <w:rsid w:val="4EC5306C"/>
    <w:rsid w:val="4F664122"/>
    <w:rsid w:val="4F9C7EC6"/>
    <w:rsid w:val="5008162D"/>
    <w:rsid w:val="5075435F"/>
    <w:rsid w:val="508C2C61"/>
    <w:rsid w:val="511D473B"/>
    <w:rsid w:val="52466271"/>
    <w:rsid w:val="528C4D2C"/>
    <w:rsid w:val="533B26E2"/>
    <w:rsid w:val="53982609"/>
    <w:rsid w:val="53EE5D20"/>
    <w:rsid w:val="541F2932"/>
    <w:rsid w:val="5574023C"/>
    <w:rsid w:val="56E322E1"/>
    <w:rsid w:val="57271C0D"/>
    <w:rsid w:val="57E97B52"/>
    <w:rsid w:val="58E34758"/>
    <w:rsid w:val="593432C8"/>
    <w:rsid w:val="5939399F"/>
    <w:rsid w:val="5A481411"/>
    <w:rsid w:val="5C5D1AF2"/>
    <w:rsid w:val="5CA702FB"/>
    <w:rsid w:val="5D366C6C"/>
    <w:rsid w:val="5D785DB4"/>
    <w:rsid w:val="5DAA1DAA"/>
    <w:rsid w:val="5E672FB3"/>
    <w:rsid w:val="5E675BC0"/>
    <w:rsid w:val="5EA64AA4"/>
    <w:rsid w:val="5FE20AA4"/>
    <w:rsid w:val="5FF05A6E"/>
    <w:rsid w:val="60776372"/>
    <w:rsid w:val="615252A3"/>
    <w:rsid w:val="61F64D1E"/>
    <w:rsid w:val="6238389F"/>
    <w:rsid w:val="630D68DD"/>
    <w:rsid w:val="63C913AF"/>
    <w:rsid w:val="63ED29F1"/>
    <w:rsid w:val="63F83144"/>
    <w:rsid w:val="64CF1141"/>
    <w:rsid w:val="64EF67D0"/>
    <w:rsid w:val="65140298"/>
    <w:rsid w:val="653C3ED2"/>
    <w:rsid w:val="65721DCD"/>
    <w:rsid w:val="65D5373C"/>
    <w:rsid w:val="65FD13B7"/>
    <w:rsid w:val="66103D71"/>
    <w:rsid w:val="664C52BD"/>
    <w:rsid w:val="66DB48B2"/>
    <w:rsid w:val="680910B8"/>
    <w:rsid w:val="68671E63"/>
    <w:rsid w:val="695E4DE8"/>
    <w:rsid w:val="69886D18"/>
    <w:rsid w:val="69C016A8"/>
    <w:rsid w:val="69DF249A"/>
    <w:rsid w:val="6A863476"/>
    <w:rsid w:val="6B75396E"/>
    <w:rsid w:val="6BE8547E"/>
    <w:rsid w:val="6CA25582"/>
    <w:rsid w:val="6DE52539"/>
    <w:rsid w:val="70926DFA"/>
    <w:rsid w:val="728A58AF"/>
    <w:rsid w:val="734142A1"/>
    <w:rsid w:val="74582108"/>
    <w:rsid w:val="749E259E"/>
    <w:rsid w:val="754B27D9"/>
    <w:rsid w:val="765C7B6B"/>
    <w:rsid w:val="77AE0291"/>
    <w:rsid w:val="7860158C"/>
    <w:rsid w:val="7863107C"/>
    <w:rsid w:val="7909669D"/>
    <w:rsid w:val="7A543140"/>
    <w:rsid w:val="7A8D3EAA"/>
    <w:rsid w:val="7AA747DB"/>
    <w:rsid w:val="7BD657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semiHidden="0" w:name="heading 2"/>
    <w:lsdException w:qFormat="1" w:uiPriority="99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iPriority="0" w:semiHidden="0" w:name="annotation text"/>
    <w:lsdException w:qFormat="1" w:unhideWhenUsed="0" w:uiPriority="0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iPriority="99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iPriority="99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3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等线" w:hAnsi="等线" w:eastAsia="等线" w:cs="Times New Roman"/>
      <w:kern w:val="2"/>
      <w:sz w:val="21"/>
      <w:szCs w:val="21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9"/>
    <w:pPr>
      <w:keepNext/>
      <w:keepLines/>
      <w:widowControl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3">
    <w:name w:val="heading 3"/>
    <w:basedOn w:val="1"/>
    <w:next w:val="1"/>
    <w:link w:val="32"/>
    <w:unhideWhenUsed/>
    <w:qFormat/>
    <w:uiPriority w:val="99"/>
    <w:pPr>
      <w:widowControl/>
      <w:autoSpaceDE w:val="0"/>
      <w:autoSpaceDN w:val="0"/>
      <w:spacing w:before="50" w:beforeLines="50" w:after="50" w:afterLines="50" w:line="360" w:lineRule="auto"/>
      <w:ind w:left="120"/>
      <w:outlineLvl w:val="2"/>
    </w:pPr>
    <w:rPr>
      <w:rFonts w:ascii="楷体" w:hAnsi="楷体" w:eastAsia="楷体" w:cs="楷体"/>
      <w:b/>
      <w:bCs/>
      <w:kern w:val="0"/>
      <w:sz w:val="32"/>
      <w:szCs w:val="32"/>
      <w:lang w:eastAsia="en-US"/>
    </w:rPr>
  </w:style>
  <w:style w:type="character" w:default="1" w:styleId="15">
    <w:name w:val="Default Paragraph Font"/>
    <w:semiHidden/>
    <w:unhideWhenUsed/>
    <w:qFormat/>
    <w:uiPriority w:val="1"/>
  </w:style>
  <w:style w:type="table" w:default="1" w:styleId="1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annotation text"/>
    <w:basedOn w:val="1"/>
    <w:link w:val="21"/>
    <w:unhideWhenUsed/>
    <w:qFormat/>
    <w:uiPriority w:val="0"/>
    <w:pPr>
      <w:jc w:val="left"/>
    </w:pPr>
  </w:style>
  <w:style w:type="paragraph" w:styleId="5">
    <w:name w:val="Body Text"/>
    <w:basedOn w:val="1"/>
    <w:link w:val="24"/>
    <w:qFormat/>
    <w:uiPriority w:val="0"/>
    <w:pPr>
      <w:spacing w:after="120"/>
    </w:pPr>
  </w:style>
  <w:style w:type="paragraph" w:styleId="6">
    <w:name w:val="Balloon Text"/>
    <w:basedOn w:val="1"/>
    <w:link w:val="20"/>
    <w:qFormat/>
    <w:uiPriority w:val="0"/>
    <w:rPr>
      <w:sz w:val="18"/>
      <w:szCs w:val="18"/>
    </w:rPr>
  </w:style>
  <w:style w:type="paragraph" w:styleId="7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23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toc 1"/>
    <w:basedOn w:val="1"/>
    <w:next w:val="1"/>
    <w:unhideWhenUsed/>
    <w:qFormat/>
    <w:uiPriority w:val="39"/>
    <w:pPr>
      <w:spacing w:before="120" w:after="120"/>
      <w:jc w:val="left"/>
    </w:pPr>
    <w:rPr>
      <w:rFonts w:asciiTheme="minorHAnsi" w:eastAsiaTheme="minorHAnsi"/>
      <w:b/>
      <w:bCs/>
      <w:caps/>
      <w:sz w:val="20"/>
      <w:szCs w:val="20"/>
    </w:rPr>
  </w:style>
  <w:style w:type="paragraph" w:styleId="10">
    <w:name w:val="toc 2"/>
    <w:basedOn w:val="1"/>
    <w:next w:val="1"/>
    <w:unhideWhenUsed/>
    <w:qFormat/>
    <w:uiPriority w:val="39"/>
    <w:pPr>
      <w:ind w:left="210"/>
      <w:jc w:val="left"/>
    </w:pPr>
    <w:rPr>
      <w:rFonts w:asciiTheme="minorHAnsi" w:eastAsiaTheme="minorHAnsi"/>
      <w:smallCaps/>
      <w:sz w:val="20"/>
      <w:szCs w:val="20"/>
    </w:rPr>
  </w:style>
  <w:style w:type="paragraph" w:styleId="11">
    <w:name w:val="annotation subject"/>
    <w:basedOn w:val="4"/>
    <w:next w:val="4"/>
    <w:link w:val="22"/>
    <w:qFormat/>
    <w:uiPriority w:val="0"/>
    <w:rPr>
      <w:b/>
      <w:bCs/>
    </w:rPr>
  </w:style>
  <w:style w:type="paragraph" w:styleId="12">
    <w:name w:val="Body Text First Indent"/>
    <w:basedOn w:val="5"/>
    <w:link w:val="26"/>
    <w:unhideWhenUsed/>
    <w:qFormat/>
    <w:uiPriority w:val="99"/>
    <w:pPr>
      <w:widowControl/>
      <w:spacing w:before="50" w:beforeLines="50" w:afterLines="50" w:line="360" w:lineRule="auto"/>
      <w:ind w:firstLine="420" w:firstLineChars="100"/>
    </w:pPr>
    <w:rPr>
      <w:rFonts w:ascii="仿宋" w:hAnsi="仿宋" w:eastAsia="仿宋" w:cs="仿宋"/>
      <w:sz w:val="32"/>
      <w:szCs w:val="32"/>
    </w:rPr>
  </w:style>
  <w:style w:type="table" w:styleId="14">
    <w:name w:val="Table Grid"/>
    <w:basedOn w:val="13"/>
    <w:qFormat/>
    <w:uiPriority w:val="39"/>
    <w:pPr>
      <w:widowControl w:val="0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6">
    <w:name w:val="Hyperlink"/>
    <w:basedOn w:val="15"/>
    <w:unhideWhenUsed/>
    <w:qFormat/>
    <w:uiPriority w:val="99"/>
    <w:rPr>
      <w:color w:val="0026E5" w:themeColor="hyperlink"/>
      <w:u w:val="single"/>
      <w14:textFill>
        <w14:solidFill>
          <w14:schemeClr w14:val="hlink"/>
        </w14:solidFill>
      </w14:textFill>
    </w:rPr>
  </w:style>
  <w:style w:type="character" w:styleId="17">
    <w:name w:val="annotation reference"/>
    <w:basedOn w:val="15"/>
    <w:unhideWhenUsed/>
    <w:qFormat/>
    <w:uiPriority w:val="99"/>
    <w:rPr>
      <w:sz w:val="21"/>
      <w:szCs w:val="21"/>
    </w:rPr>
  </w:style>
  <w:style w:type="paragraph" w:styleId="18">
    <w:name w:val="List Paragraph"/>
    <w:basedOn w:val="1"/>
    <w:qFormat/>
    <w:uiPriority w:val="1"/>
    <w:pPr>
      <w:ind w:firstLine="420" w:firstLineChars="200"/>
    </w:pPr>
  </w:style>
  <w:style w:type="table" w:customStyle="1" w:styleId="19">
    <w:name w:val="网格型4"/>
    <w:basedOn w:val="13"/>
    <w:qFormat/>
    <w:uiPriority w:val="39"/>
    <w:pPr>
      <w:widowControl w:val="0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20">
    <w:name w:val="批注框文本 字符"/>
    <w:basedOn w:val="15"/>
    <w:link w:val="6"/>
    <w:qFormat/>
    <w:uiPriority w:val="0"/>
    <w:rPr>
      <w:rFonts w:ascii="等线" w:hAnsi="等线" w:eastAsia="等线"/>
      <w:kern w:val="2"/>
      <w:sz w:val="18"/>
      <w:szCs w:val="18"/>
    </w:rPr>
  </w:style>
  <w:style w:type="character" w:customStyle="1" w:styleId="21">
    <w:name w:val="批注文字 字符"/>
    <w:basedOn w:val="15"/>
    <w:link w:val="4"/>
    <w:qFormat/>
    <w:uiPriority w:val="0"/>
    <w:rPr>
      <w:rFonts w:ascii="等线" w:hAnsi="等线" w:eastAsia="等线"/>
      <w:kern w:val="2"/>
      <w:sz w:val="21"/>
      <w:szCs w:val="21"/>
    </w:rPr>
  </w:style>
  <w:style w:type="character" w:customStyle="1" w:styleId="22">
    <w:name w:val="批注主题 字符"/>
    <w:basedOn w:val="21"/>
    <w:link w:val="11"/>
    <w:qFormat/>
    <w:uiPriority w:val="0"/>
    <w:rPr>
      <w:rFonts w:ascii="等线" w:hAnsi="等线" w:eastAsia="等线"/>
      <w:b/>
      <w:bCs/>
      <w:kern w:val="2"/>
      <w:sz w:val="21"/>
      <w:szCs w:val="21"/>
    </w:rPr>
  </w:style>
  <w:style w:type="character" w:customStyle="1" w:styleId="23">
    <w:name w:val="页眉 字符"/>
    <w:basedOn w:val="15"/>
    <w:link w:val="8"/>
    <w:qFormat/>
    <w:uiPriority w:val="0"/>
    <w:rPr>
      <w:rFonts w:ascii="等线" w:hAnsi="等线" w:eastAsia="等线"/>
      <w:kern w:val="2"/>
      <w:sz w:val="18"/>
      <w:szCs w:val="18"/>
    </w:rPr>
  </w:style>
  <w:style w:type="character" w:customStyle="1" w:styleId="24">
    <w:name w:val="正文文本 字符"/>
    <w:basedOn w:val="15"/>
    <w:link w:val="5"/>
    <w:qFormat/>
    <w:uiPriority w:val="0"/>
    <w:rPr>
      <w:rFonts w:ascii="等线" w:hAnsi="等线" w:eastAsia="等线"/>
      <w:kern w:val="2"/>
      <w:sz w:val="21"/>
      <w:szCs w:val="21"/>
    </w:rPr>
  </w:style>
  <w:style w:type="character" w:customStyle="1" w:styleId="25">
    <w:name w:val="正文文本首行缩进 字符"/>
    <w:basedOn w:val="24"/>
    <w:qFormat/>
    <w:uiPriority w:val="0"/>
    <w:rPr>
      <w:rFonts w:ascii="等线" w:hAnsi="等线" w:eastAsia="等线"/>
      <w:kern w:val="2"/>
      <w:sz w:val="21"/>
      <w:szCs w:val="21"/>
    </w:rPr>
  </w:style>
  <w:style w:type="character" w:customStyle="1" w:styleId="26">
    <w:name w:val="正文首行缩进 字符"/>
    <w:basedOn w:val="24"/>
    <w:link w:val="12"/>
    <w:qFormat/>
    <w:uiPriority w:val="99"/>
    <w:rPr>
      <w:rFonts w:ascii="仿宋" w:hAnsi="仿宋" w:eastAsia="仿宋" w:cs="仿宋"/>
      <w:kern w:val="2"/>
      <w:sz w:val="32"/>
      <w:szCs w:val="32"/>
    </w:rPr>
  </w:style>
  <w:style w:type="paragraph" w:customStyle="1" w:styleId="27">
    <w:name w:val="修订1"/>
    <w:hidden/>
    <w:semiHidden/>
    <w:qFormat/>
    <w:uiPriority w:val="99"/>
    <w:rPr>
      <w:rFonts w:ascii="等线" w:hAnsi="等线" w:eastAsia="等线" w:cs="Times New Roman"/>
      <w:kern w:val="2"/>
      <w:sz w:val="21"/>
      <w:szCs w:val="21"/>
      <w:lang w:val="en-US" w:eastAsia="zh-CN" w:bidi="ar-SA"/>
    </w:rPr>
  </w:style>
  <w:style w:type="character" w:customStyle="1" w:styleId="28">
    <w:name w:val="font112"/>
    <w:basedOn w:val="15"/>
    <w:qFormat/>
    <w:uiPriority w:val="0"/>
    <w:rPr>
      <w:rFonts w:hint="default" w:ascii="Times New Roman" w:hAnsi="Times New Roman" w:cs="Times New Roman"/>
      <w:color w:val="000000"/>
      <w:sz w:val="20"/>
      <w:szCs w:val="20"/>
      <w:u w:val="none"/>
    </w:rPr>
  </w:style>
  <w:style w:type="character" w:customStyle="1" w:styleId="29">
    <w:name w:val="font81"/>
    <w:basedOn w:val="15"/>
    <w:qFormat/>
    <w:uiPriority w:val="0"/>
    <w:rPr>
      <w:rFonts w:hint="eastAsia" w:ascii="仿宋" w:hAnsi="仿宋" w:eastAsia="仿宋" w:cs="仿宋"/>
      <w:color w:val="000000"/>
      <w:sz w:val="20"/>
      <w:szCs w:val="20"/>
      <w:u w:val="none"/>
    </w:rPr>
  </w:style>
  <w:style w:type="paragraph" w:customStyle="1" w:styleId="30">
    <w:name w:val="Table Text"/>
    <w:basedOn w:val="1"/>
    <w:semiHidden/>
    <w:qFormat/>
    <w:uiPriority w:val="0"/>
    <w:rPr>
      <w:rFonts w:ascii="仿宋" w:hAnsi="仿宋" w:eastAsia="仿宋" w:cs="仿宋"/>
      <w:sz w:val="19"/>
      <w:szCs w:val="19"/>
      <w:lang w:eastAsia="en-US"/>
    </w:rPr>
  </w:style>
  <w:style w:type="table" w:customStyle="1" w:styleId="31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2">
    <w:name w:val="标题 3 字符"/>
    <w:basedOn w:val="15"/>
    <w:link w:val="3"/>
    <w:qFormat/>
    <w:uiPriority w:val="99"/>
    <w:rPr>
      <w:rFonts w:ascii="楷体" w:hAnsi="楷体" w:eastAsia="楷体" w:cs="楷体"/>
      <w:b/>
      <w:bCs/>
      <w:sz w:val="32"/>
      <w:szCs w:val="32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jpeg"/><Relationship Id="rId8" Type="http://schemas.openxmlformats.org/officeDocument/2006/relationships/theme" Target="theme/theme1.xml"/><Relationship Id="rId7" Type="http://schemas.openxmlformats.org/officeDocument/2006/relationships/footer" Target="footer5.xml"/><Relationship Id="rId6" Type="http://schemas.openxmlformats.org/officeDocument/2006/relationships/footer" Target="footer4.xml"/><Relationship Id="rId5" Type="http://schemas.openxmlformats.org/officeDocument/2006/relationships/footer" Target="footer3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2" Type="http://schemas.openxmlformats.org/officeDocument/2006/relationships/fontTable" Target="fontTable.xml"/><Relationship Id="rId21" Type="http://schemas.openxmlformats.org/officeDocument/2006/relationships/customXml" Target="../customXml/item2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0.jpeg"/><Relationship Id="rId17" Type="http://schemas.openxmlformats.org/officeDocument/2006/relationships/image" Target="media/image9.jpeg"/><Relationship Id="rId16" Type="http://schemas.openxmlformats.org/officeDocument/2006/relationships/image" Target="media/image8.jpeg"/><Relationship Id="rId15" Type="http://schemas.openxmlformats.org/officeDocument/2006/relationships/image" Target="media/image7.jpeg"/><Relationship Id="rId14" Type="http://schemas.openxmlformats.org/officeDocument/2006/relationships/image" Target="media/image6.jpeg"/><Relationship Id="rId13" Type="http://schemas.openxmlformats.org/officeDocument/2006/relationships/image" Target="media/image5.jpeg"/><Relationship Id="rId12" Type="http://schemas.openxmlformats.org/officeDocument/2006/relationships/image" Target="media/image4.jpeg"/><Relationship Id="rId11" Type="http://schemas.openxmlformats.org/officeDocument/2006/relationships/image" Target="media/image3.jpeg"/><Relationship Id="rId10" Type="http://schemas.openxmlformats.org/officeDocument/2006/relationships/image" Target="media/image2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contractReview xmlns="http://schemas.wps.cn/vas-ai-hub/contract-review">
  <reviewItems>
    <reviewItem>
      <errorID>4d760430-716b-4f9d-a163-67c26e6a9ee8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69803518</paraID>
      <start>5</start>
      <end>6</end>
      <status>ignored</status>
      <modifiedWord/>
      <trackRevisions>false</trackRevisions>
    </reviewItem>
    <reviewItem>
      <errorID>330b5497-5b2c-4df4-babb-cab60d57e0b3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25C53DA9</paraID>
      <start>92</start>
      <end>93</end>
      <status>ignored</status>
      <modifiedWord/>
      <trackRevisions>false</trackRevisions>
    </reviewItem>
    <reviewItem>
      <errorID>1431f8ba-127e-45f2-965c-49b7a57dbb26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5C11F2BF</paraID>
      <start>11</start>
      <end>12</end>
      <status>ignored</status>
      <modifiedWord/>
      <trackRevisions>false</trackRevisions>
    </reviewItem>
    <reviewItem>
      <errorID>3b9b4700-0d40-47c4-89be-e0398fe3ccbd</errorID>
      <errorWord>中共中央国务院</errorWord>
      <group>L1_Political</group>
      <groupName>政治性问题</groupName>
      <ability>L2_Keyword</ability>
      <abilityName>固定表述</abilityName>
      <candidateList>
        <item>中共中央、国务院</item>
      </candidateList>
      <explain>注意检查当前固定表述标点是否使用规范。</explain>
      <paraID>3963899D</paraID>
      <start>3</start>
      <end>10</end>
      <status>ignored</status>
      <modifiedWord/>
      <trackRevisions>false</trackRevisions>
    </reviewItem>
    <reviewItem>
      <errorID>41fc4afb-0f66-48ba-b716-88bbc62e8cc8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4D06D22C</paraID>
      <start>20</start>
      <end>21</end>
      <status>ignored</status>
      <modifiedWord/>
      <trackRevisions>false</trackRevisions>
    </reviewItem>
    <reviewItem>
      <errorID>f1813224-8e3a-4562-9a55-32f453406743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19B9B528</paraID>
      <start>20</start>
      <end>21</end>
      <status>ignored</status>
      <modifiedWord/>
      <trackRevisions>false</trackRevisions>
    </reviewItem>
    <reviewItem>
      <errorID>0d13130c-5e35-4ec9-af66-b2cccb195273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3CF8A879</paraID>
      <start>23</start>
      <end>24</end>
      <status>ignored</status>
      <modifiedWord/>
      <trackRevisions>false</trackRevisions>
    </reviewItem>
    <reviewItem>
      <errorID>05e8c685-a003-440c-9194-994a527db273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1875F441</paraID>
      <start>24</start>
      <end>25</end>
      <status>ignored</status>
      <modifiedWord/>
      <trackRevisions>false</trackRevisions>
    </reviewItem>
    <reviewItem>
      <errorID>c840c816-2ead-4bce-bdbd-b9e741ba51b3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6CB6DC0C</paraID>
      <start>32</start>
      <end>33</end>
      <status>ignored</status>
      <modifiedWord/>
      <trackRevisions>false</trackRevisions>
    </reviewItem>
    <reviewItem>
      <errorID>1c085297-c8d3-4093-9b75-2faef44bc52c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6D28D93F</paraID>
      <start>14</start>
      <end>15</end>
      <status>ignored</status>
      <modifiedWord/>
      <trackRevisions>false</trackRevisions>
    </reviewItem>
    <reviewItem>
      <errorID>164f332b-3cf9-4b20-8be9-a5ac8cadf718</errorID>
      <errorWord>颗</errorWord>
      <group>L1_Knowledge</group>
      <groupName>知识性问题</groupName>
      <ability>L2_Knowledge</ability>
      <abilityName>其他知识</abilityName>
      <candidateList>
        <item>亩</item>
      </candidateList>
      <explain/>
      <paraID>4E991C43</paraID>
      <start>161</start>
      <end>162</end>
      <status>ignored</status>
      <modifiedWord/>
      <trackRevisions>false</trackRevisions>
    </reviewItem>
    <reviewItem>
      <errorID>b89cacd1-cbb3-49cd-a0ba-5973d17449ec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21215018</paraID>
      <start>61</start>
      <end>62</end>
      <status>ignored</status>
      <modifiedWord/>
      <trackRevisions>false</trackRevisions>
    </reviewItem>
    <reviewItem>
      <errorID>c59a74d9-26ee-42b6-8db5-034e3d009bfe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21215018</paraID>
      <start>73</start>
      <end>74</end>
      <status>ignored</status>
      <modifiedWord/>
      <trackRevisions>false</trackRevisions>
    </reviewItem>
    <reviewItem>
      <errorID>e0468c7f-a3cc-4da2-8dd8-8c7fffc8291b</errorID>
      <errorWord>已经</errorWord>
      <group>L1_Word</group>
      <groupName>字词问题</groupName>
      <ability>L2_Typo</ability>
      <abilityName>字词错误</abilityName>
      <candidateList>
        <item>已</item>
      </candidateList>
      <explain>❶停止：争论不～｜有加无～。❷〈副〉已经（跟“未”相对）：时间～过｜此事～设法解决。❸〈书〉副后来；过了一会儿：～而｜～忽不见。❹〈书〉副太；过：不为～甚。❺（Yǐ）〈名〉姓。</explain>
      <paraID>7E595B2B</paraID>
      <start>107</start>
      <end>108</end>
      <status>modified</status>
      <modifiedWord>已</modifiedWord>
      <trackRevisions>false</trackRevisions>
    </reviewItem>
    <reviewItem>
      <errorID>e2339afb-5904-48fe-81e8-3d375f09ce36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6D8F1E86</paraID>
      <start>19</start>
      <end>20</end>
      <status>ignored</status>
      <modifiedWord/>
      <trackRevisions>false</trackRevisions>
    </reviewItem>
    <reviewItem>
      <errorID>d14145a0-bcc1-408b-a00d-2d233936756e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54DF857C</paraID>
      <start>22</start>
      <end>23</end>
      <status>ignored</status>
      <modifiedWord/>
      <trackRevisions>false</trackRevisions>
    </reviewItem>
    <reviewItem>
      <errorID>1b708e50-0c95-4737-94e0-3383ff78e41c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1B3CAFFE</paraID>
      <start>23</start>
      <end>24</end>
      <status>ignored</status>
      <modifiedWord/>
      <trackRevisions>false</trackRevisions>
    </reviewItem>
    <reviewItem>
      <errorID>27de187a-a422-424e-8558-9fa74d61a4e7</errorID>
      <errorWord>-</errorWord>
      <group>L1_Format</group>
      <groupName>格式问题</groupName>
      <ability>L2_HalfPunc</ability>
      <abilityName>全半角检查</abilityName>
      <candidateList>
        <item>－</item>
      </candidateList>
      <explain>文本全半角错误。</explain>
      <paraID> 132FEC9</paraID>
      <start>109</start>
      <end>110</end>
      <status>modified</status>
      <modifiedWord>－</modifiedWord>
      <trackRevisions>false</trackRevisions>
    </reviewItem>
    <reviewItem>
      <errorID>c9549061-be3c-40ef-8226-55dff60b983f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799A55EA</paraID>
      <start>31</start>
      <end>32</end>
      <status>ignored</status>
      <modifiedWord/>
      <trackRevisions>false</trackRevisions>
    </reviewItem>
    <reviewItem>
      <errorID>099276e5-ffd6-4ccc-896e-238bf084c007</errorID>
      <errorWord>生物多样性维护</errorWord>
      <group>L1_Political</group>
      <groupName>政治性问题</groupName>
      <ability>L2_Keyword</ability>
      <abilityName>固定表述</abilityName>
      <candidateList>
        <item>生物多样性保护</item>
      </candidateList>
      <explain>词汇“生物多样性保护”在特定场景下为固定表述形式，请确认此处的“生物多样性维护”是否存在不当。</explain>
      <paraID>6806AB8A</paraID>
      <start>65</start>
      <end>72</end>
      <status>modified</status>
      <modifiedWord>生物多样性保护</modifiedWord>
      <trackRevisions>false</trackRevisions>
    </reviewItem>
    <reviewItem>
      <errorID>8d3a054a-0847-44c0-9495-542b3d895d60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4C4C1B2E</paraID>
      <start>22</start>
      <end>23</end>
      <status>ignored</status>
      <modifiedWord/>
      <trackRevisions>false</trackRevisions>
    </reviewItem>
    <reviewItem>
      <errorID>4a48e8f6-e438-4be0-85fe-5c5651df1c6b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5BA55A8B</paraID>
      <start>27</start>
      <end>28</end>
      <status>ignored</status>
      <modifiedWord/>
      <trackRevisions>false</trackRevisions>
    </reviewItem>
    <reviewItem>
      <errorID>3349bcfa-9069-40dd-bcbb-88ec7fe6061f</errorID>
      <errorWord>建</errorWord>
      <group>L1_Word</group>
      <groupName>字词问题</groupName>
      <ability>L2_Typo</ability>
      <abilityName>字词错误</abilityName>
      <candidateList>
        <item>建设</item>
      </candidateList>
      <explain>〈动〉创立新事业；增加新设施：经济～｜～家园｜～现代化强国◇组织～｜思想～。</explain>
      <paraID>10F2143B</paraID>
      <start>52</start>
      <end>53</end>
      <status>ignored</status>
      <modifiedWord/>
      <trackRevisions>false</trackRevisions>
    </reviewItem>
    <reviewItem>
      <errorID>2f04bb43-62a2-45eb-997f-d91b0e513f35</errorID>
      <errorWord>35-110千</errorWord>
      <group>L1_Knowledge</group>
      <groupName>知识性问题</groupName>
      <ability>L2_Knowledge</ability>
      <abilityName>其他知识</abilityName>
      <candidateList>
        <item>35千—110千</item>
      </candidateList>
      <explain>1. “35-110千”中的单位“千”仅出现在后一个数字上，容易引起歧义；根据《现代汉语标点符号数字用法规范手册》，数字表示范围两边需要使用统一的格式。2. 根据标点国标 4.13 中的规则，数字、时间或地域连接符应使用（视觉上更长的）“—”或“～”。</explain>
      <paraID>21D520B5</paraID>
      <start>9</start>
      <end>16</end>
      <status>ignored</status>
      <modifiedWord/>
      <trackRevisions>false</trackRevisions>
    </reviewItem>
    <reviewItem>
      <errorID>8e3d2135-1f4a-4f13-9106-26cda5b33a12</errorID>
      <errorWord>西藏自治区实施&lt;中华人民共和国森林法&gt;办法</errorWord>
      <group>L1_Knowledge</group>
      <groupName>知识性问题</groupName>
      <ability>L2_Knowledge</ability>
      <abilityName>其他知识</abilityName>
      <candidateList>
        <item>西藏自治区实施〈中华人民共和国森林法〉办法</item>
      </candidateList>
      <explain>当前法律法规未收录或尚未生效，注意核查是否正确。</explain>
      <paraID>48DCA0D1</paraID>
      <start>10</start>
      <end>31</end>
      <status>modified</status>
      <modifiedWord>西藏自治区实施〈中华人民共和国森林法〉办法</modifiedWord>
      <trackRevisions>false</trackRevisions>
    </reviewItem>
    <reviewItem>
      <errorID>43679ee0-609d-40de-9344-c0421b10d96d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2E956A2B</paraID>
      <start>13</start>
      <end>14</end>
      <status>ignored</status>
      <modifiedWord/>
      <trackRevisions>false</trackRevisions>
    </reviewItem>
    <reviewItem>
      <errorID>15d874f6-920e-4466-a3c3-3fb7c3090838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2E956A2B</paraID>
      <start>97</start>
      <end>98</end>
      <status>ignored</status>
      <modifiedWord/>
      <trackRevisions>false</trackRevisions>
    </reviewItem>
    <reviewItem>
      <errorID>22952787-c920-4134-8c34-3189c5d469d6</errorID>
      <errorWord>；</errorWord>
      <group>L1_Word</group>
      <groupName>字词问题</groupName>
      <ability>L2_Typo</ability>
      <abilityName>字词错误</abilityName>
      <candidateList>
        <item>；要</item>
      </candidateList>
      <explain/>
      <paraID>5ABB4B96</paraID>
      <start>103</start>
      <end>105</end>
      <status>modified</status>
      <modifiedWord>；要</modifiedWord>
      <trackRevisions>false</trackRevisions>
    </reviewItem>
    <reviewItem>
      <errorID>f9a8adf1-30f8-400a-9fb8-eaa5dbaa0e5b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40F70E9D</paraID>
      <start>5</start>
      <end>6</end>
      <status>ignored</status>
      <modifiedWord/>
      <trackRevisions>false</trackRevisions>
    </reviewItem>
  </reviewItems>
  <config/>
</contractReview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D330D66-0432-4377-88FA-A98FC4E32C7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DoubleOX</Company>
  <Pages>20</Pages>
  <Words>3111</Words>
  <Characters>3544</Characters>
  <Lines>5</Lines>
  <Paragraphs>1</Paragraphs>
  <TotalTime>1</TotalTime>
  <ScaleCrop>false</ScaleCrop>
  <LinksUpToDate>false</LinksUpToDate>
  <CharactersWithSpaces>3554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2024-12-22T03:47:00Z</dcterms:created>
  <dc:creator>Administrator</dc:creator>
  <cp:lastModifiedBy>WPS_1652166430</cp:lastModifiedBy>
  <cp:lastPrinted>2026-03-03T02:21:00Z</cp:lastPrinted>
  <dcterms:modified xsi:type="dcterms:W3CDTF">2026-03-13T07:36:41Z</dcterms:modified>
  <cp:revision>40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7C0CA58ECE1B421B87F32FC19237B897_13</vt:lpwstr>
  </property>
  <property fmtid="{D5CDD505-2E9C-101B-9397-08002B2CF9AE}" pid="4" name="KSOTemplateDocerSaveRecord">
    <vt:lpwstr>eyJoZGlkIjoiODQ1NzZkNTY1NGMyZWJhNzJiNTYxOWE3OGVlNTk1MGEiLCJ1c2VySWQiOiIxMzY3NDU4MTU4In0=</vt:lpwstr>
  </property>
</Properties>
</file>