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4"/>
          <w:szCs w:val="44"/>
        </w:rPr>
      </w:pPr>
    </w:p>
    <w:p>
      <w:pPr>
        <w:jc w:val="center"/>
        <w:rPr>
          <w:sz w:val="44"/>
          <w:szCs w:val="44"/>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觉木街道办（部门）2019年度部门决算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宋体" w:hAnsi="宋体"/>
          <w:sz w:val="32"/>
          <w:szCs w:val="32"/>
          <w:u w:val="single"/>
        </w:rPr>
      </w:pPr>
      <w:r>
        <w:rPr>
          <w:rFonts w:hint="eastAsia" w:ascii="宋体" w:hAnsi="宋体"/>
          <w:sz w:val="32"/>
          <w:szCs w:val="32"/>
          <w:u w:val="single"/>
        </w:rPr>
        <w:t>2020</w:t>
      </w:r>
      <w:r>
        <w:rPr>
          <w:rFonts w:hint="eastAsia" w:ascii="宋体" w:hAnsi="宋体"/>
          <w:sz w:val="32"/>
          <w:szCs w:val="32"/>
        </w:rPr>
        <w:t>年</w:t>
      </w:r>
      <w:r>
        <w:rPr>
          <w:rFonts w:hint="eastAsia" w:ascii="宋体" w:hAnsi="宋体"/>
          <w:sz w:val="32"/>
          <w:szCs w:val="32"/>
          <w:u w:val="single"/>
        </w:rPr>
        <w:t xml:space="preserve"> 8 </w:t>
      </w:r>
      <w:r>
        <w:rPr>
          <w:rFonts w:hint="eastAsia" w:ascii="宋体" w:hAnsi="宋体"/>
          <w:sz w:val="32"/>
          <w:szCs w:val="32"/>
        </w:rPr>
        <w:t>月</w:t>
      </w:r>
      <w:r>
        <w:rPr>
          <w:rFonts w:hint="eastAsia" w:ascii="宋体" w:hAnsi="宋体"/>
          <w:sz w:val="32"/>
          <w:szCs w:val="32"/>
          <w:u w:val="single"/>
        </w:rPr>
        <w:t xml:space="preserve">  12 日</w:t>
      </w:r>
    </w:p>
    <w:p>
      <w:pPr>
        <w:rPr>
          <w:sz w:val="44"/>
          <w:szCs w:val="44"/>
        </w:rPr>
      </w:pPr>
    </w:p>
    <w:p>
      <w:pPr>
        <w:rPr>
          <w:sz w:val="44"/>
          <w:szCs w:val="44"/>
        </w:rPr>
      </w:pPr>
    </w:p>
    <w:p>
      <w:pPr>
        <w:rPr>
          <w:sz w:val="44"/>
          <w:szCs w:val="44"/>
        </w:rPr>
      </w:pPr>
    </w:p>
    <w:p>
      <w:pPr>
        <w:spacing w:line="460" w:lineRule="exact"/>
        <w:jc w:val="center"/>
        <w:rPr>
          <w:rFonts w:ascii="宋体" w:hAnsi="宋体"/>
          <w:b/>
          <w:sz w:val="40"/>
          <w:szCs w:val="40"/>
        </w:rPr>
      </w:pPr>
    </w:p>
    <w:p>
      <w:pPr>
        <w:spacing w:line="460" w:lineRule="exact"/>
        <w:jc w:val="center"/>
        <w:rPr>
          <w:rFonts w:ascii="宋体" w:hAnsi="宋体"/>
          <w:b/>
          <w:sz w:val="40"/>
          <w:szCs w:val="40"/>
        </w:rPr>
      </w:pPr>
      <w:r>
        <w:rPr>
          <w:rFonts w:hint="eastAsia" w:ascii="宋体" w:hAnsi="宋体"/>
          <w:b/>
          <w:sz w:val="40"/>
          <w:szCs w:val="40"/>
        </w:rPr>
        <w:t>目  录</w:t>
      </w:r>
    </w:p>
    <w:p>
      <w:pPr>
        <w:spacing w:line="460" w:lineRule="exact"/>
        <w:rPr>
          <w:rFonts w:ascii="宋体" w:hAnsi="宋体"/>
          <w:b/>
          <w:sz w:val="40"/>
          <w:szCs w:val="40"/>
        </w:rPr>
      </w:pPr>
    </w:p>
    <w:p>
      <w:pPr>
        <w:spacing w:beforeLines="100" w:afterLines="100" w:line="460" w:lineRule="exact"/>
        <w:rPr>
          <w:rFonts w:ascii="黑体" w:hAnsi="宋体" w:eastAsia="黑体"/>
          <w:sz w:val="32"/>
          <w:szCs w:val="32"/>
        </w:rPr>
      </w:pPr>
      <w:r>
        <w:rPr>
          <w:rFonts w:hint="eastAsia" w:ascii="黑体" w:hAnsi="宋体" w:eastAsia="黑体"/>
          <w:sz w:val="32"/>
          <w:szCs w:val="32"/>
        </w:rPr>
        <w:t>第一部分  觉木街道办（部门</w:t>
      </w:r>
      <w:r>
        <w:rPr>
          <w:rFonts w:ascii="黑体" w:hAnsi="宋体" w:eastAsia="黑体"/>
          <w:sz w:val="32"/>
          <w:szCs w:val="32"/>
        </w:rPr>
        <w:t>）</w:t>
      </w:r>
      <w:r>
        <w:rPr>
          <w:rFonts w:hint="eastAsia" w:ascii="黑体" w:hAnsi="宋体" w:eastAsia="黑体"/>
          <w:sz w:val="32"/>
          <w:szCs w:val="32"/>
        </w:rPr>
        <w:t>概况</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一、部门决算单位构成</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二、部门职责和机构设置</w:t>
      </w:r>
    </w:p>
    <w:p>
      <w:pPr>
        <w:spacing w:beforeLines="100" w:afterLines="100" w:line="460" w:lineRule="exact"/>
        <w:rPr>
          <w:rFonts w:ascii="黑体" w:hAnsi="宋体" w:eastAsia="黑体"/>
          <w:sz w:val="32"/>
          <w:szCs w:val="32"/>
        </w:rPr>
      </w:pPr>
      <w:r>
        <w:rPr>
          <w:rFonts w:hint="eastAsia" w:ascii="黑体" w:hAnsi="宋体" w:eastAsia="黑体"/>
          <w:sz w:val="32"/>
          <w:szCs w:val="32"/>
        </w:rPr>
        <w:t>第二部分  觉木街道办（部门）2019年度部门决算明细表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一、收支决算总表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二、收入决算总表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三、支出决算总表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四、财政拨款收支决算总表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五、一般公共预算财政拨款支出决算表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六、 一般公共预算财政拨款基本支出决算表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七、一般公共预算相关经费支出决算表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八、政府性基金预算财政拨款收支决算表</w:t>
      </w:r>
    </w:p>
    <w:p>
      <w:pPr>
        <w:spacing w:beforeLines="100" w:afterLines="100" w:line="460" w:lineRule="exact"/>
        <w:rPr>
          <w:rFonts w:ascii="黑体" w:hAnsi="宋体" w:eastAsia="黑体"/>
          <w:sz w:val="32"/>
          <w:szCs w:val="32"/>
        </w:rPr>
      </w:pPr>
      <w:r>
        <w:rPr>
          <w:rFonts w:hint="eastAsia" w:ascii="黑体" w:hAnsi="宋体" w:eastAsia="黑体"/>
          <w:sz w:val="32"/>
          <w:szCs w:val="32"/>
        </w:rPr>
        <w:t>第三部分 觉木街道办2019年度部门决算情况说明</w:t>
      </w:r>
    </w:p>
    <w:p>
      <w:pPr>
        <w:spacing w:beforeLines="100" w:afterLines="100" w:line="460" w:lineRule="exact"/>
        <w:rPr>
          <w:rFonts w:ascii="黑体" w:hAnsi="宋体" w:eastAsia="黑体"/>
          <w:sz w:val="32"/>
          <w:szCs w:val="32"/>
        </w:rPr>
      </w:pPr>
      <w:r>
        <w:rPr>
          <w:rFonts w:hint="eastAsia" w:ascii="黑体" w:hAnsi="宋体" w:eastAsia="黑体"/>
          <w:sz w:val="32"/>
          <w:szCs w:val="32"/>
        </w:rPr>
        <w:t>第四部分  名词解释</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 xml:space="preserve">第一部分 </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觉木街道办概况</w:t>
      </w:r>
    </w:p>
    <w:p>
      <w:pPr>
        <w:spacing w:line="460" w:lineRule="exact"/>
        <w:jc w:val="center"/>
        <w:rPr>
          <w:rFonts w:ascii="黑体" w:hAnsi="宋体" w:eastAsia="黑体"/>
          <w:sz w:val="48"/>
          <w:szCs w:val="48"/>
        </w:rPr>
      </w:pPr>
    </w:p>
    <w:p>
      <w:pPr>
        <w:ind w:firstLine="640" w:firstLineChars="200"/>
        <w:rPr>
          <w:rFonts w:ascii="黑体" w:hAnsi="宋体" w:eastAsia="黑体"/>
          <w:sz w:val="32"/>
          <w:szCs w:val="32"/>
        </w:rPr>
      </w:pPr>
      <w:r>
        <w:rPr>
          <w:rFonts w:hint="eastAsia" w:ascii="黑体" w:hAnsi="宋体" w:eastAsia="黑体"/>
          <w:sz w:val="32"/>
          <w:szCs w:val="32"/>
        </w:rPr>
        <w:t>一、觉木街道办部门决算单位构成</w:t>
      </w:r>
    </w:p>
    <w:p>
      <w:pPr>
        <w:ind w:firstLine="640" w:firstLineChars="200"/>
        <w:rPr>
          <w:rFonts w:ascii="仿宋_GB2312" w:eastAsia="仿宋_GB2312"/>
          <w:sz w:val="32"/>
          <w:szCs w:val="32"/>
        </w:rPr>
      </w:pPr>
      <w:r>
        <w:rPr>
          <w:rFonts w:hint="eastAsia" w:ascii="仿宋_GB2312" w:eastAsia="仿宋_GB2312"/>
          <w:sz w:val="32"/>
          <w:szCs w:val="32"/>
        </w:rPr>
        <w:t>街道办（部门</w:t>
      </w:r>
      <w:r>
        <w:rPr>
          <w:rFonts w:ascii="仿宋_GB2312" w:eastAsia="仿宋_GB2312"/>
          <w:sz w:val="32"/>
          <w:szCs w:val="32"/>
        </w:rPr>
        <w:t>）</w:t>
      </w:r>
      <w:r>
        <w:rPr>
          <w:rFonts w:hint="eastAsia" w:ascii="仿宋_GB2312" w:eastAsia="仿宋_GB2312"/>
          <w:sz w:val="32"/>
          <w:szCs w:val="32"/>
        </w:rPr>
        <w:t>2019年度决算公开包括以下单位数据：</w:t>
      </w:r>
    </w:p>
    <w:p>
      <w:pPr>
        <w:rPr>
          <w:rFonts w:ascii="仿宋" w:hAnsi="仿宋" w:eastAsia="仿宋"/>
          <w:sz w:val="32"/>
          <w:szCs w:val="32"/>
        </w:rPr>
      </w:pPr>
      <w:r>
        <w:rPr>
          <w:rFonts w:hint="eastAsia" w:ascii="仿宋" w:hAnsi="仿宋" w:eastAsia="仿宋"/>
          <w:sz w:val="32"/>
          <w:szCs w:val="32"/>
        </w:rPr>
        <w:t>双拥路社区、沿河社区.</w:t>
      </w:r>
    </w:p>
    <w:p>
      <w:pPr>
        <w:ind w:firstLine="640" w:firstLineChars="200"/>
        <w:rPr>
          <w:rFonts w:ascii="仿宋" w:hAnsi="仿宋" w:eastAsia="仿宋"/>
          <w:sz w:val="32"/>
          <w:szCs w:val="32"/>
        </w:rPr>
      </w:pPr>
      <w:r>
        <w:rPr>
          <w:rFonts w:hint="eastAsia" w:ascii="黑体" w:hAnsi="黑体" w:eastAsia="黑体"/>
          <w:sz w:val="32"/>
          <w:szCs w:val="32"/>
        </w:rPr>
        <w:t>二、部门职责和机构设置</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巴宜区觉木街道办事处为巴宜区政府派出机构，是开展社会管理创新工作的重要工程之一，觉木街道办在区委、政府及街道党工委的领导下开展工作，下设党政综合办公室、党的群众路线办公室、创建国家卫生城市办公室、和社会管理综合治理办公室4个办公室。</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巴宜区城区街道办事处党工委主要职责是：宣传贯彻执行党的路线、方针、政策和国家的法律、法规，组织实施上级党组织的决议、决定，团结和带领广大党员和群众完成辖区内各项任务，加强党组织建设，搞好党员的教育和管理，做好发展党员工作。</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巴宜区觉木街道办事处主要职责是：对辖区内各种经济组织进行协调、指导，努力为区域经济发展营造良好的社区环境，促进区域经济发展；承担辖区内市容环境卫生、维护辖区稳定；负责辖区社会治安综合治理工作；负责辖区精神文明建设，对辖区内城市管理、社会服务、社会管理综合治理、精神文明建设等方面的工作行使组织领导综合治理工作，监督请议的行政管理职能。</w:t>
      </w:r>
    </w:p>
    <w:p>
      <w:pPr>
        <w:ind w:firstLine="640" w:firstLineChars="200"/>
        <w:rPr>
          <w:rFonts w:ascii="黑体" w:hAnsi="宋体" w:eastAsia="黑体"/>
          <w:sz w:val="48"/>
          <w:szCs w:val="48"/>
        </w:rPr>
      </w:pPr>
      <w:r>
        <w:rPr>
          <w:rFonts w:hint="eastAsia" w:ascii="仿宋" w:hAnsi="仿宋" w:eastAsia="仿宋"/>
          <w:sz w:val="32"/>
          <w:szCs w:val="32"/>
        </w:rPr>
        <w:t>街道办内设机构：双拥路社区、沿河社区。</w:t>
      </w:r>
    </w:p>
    <w:p>
      <w:pPr>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第二部分</w:t>
      </w:r>
    </w:p>
    <w:p>
      <w:pPr>
        <w:spacing w:line="460" w:lineRule="exact"/>
        <w:jc w:val="center"/>
        <w:rPr>
          <w:rFonts w:ascii="黑体" w:hAnsi="宋体" w:eastAsia="黑体"/>
          <w:sz w:val="48"/>
          <w:szCs w:val="48"/>
        </w:rPr>
      </w:pPr>
    </w:p>
    <w:p>
      <w:pPr>
        <w:spacing w:line="460" w:lineRule="exact"/>
        <w:jc w:val="center"/>
        <w:rPr>
          <w:rFonts w:ascii="黑体" w:eastAsia="黑体"/>
          <w:sz w:val="32"/>
          <w:szCs w:val="32"/>
        </w:rPr>
      </w:pPr>
      <w:r>
        <w:rPr>
          <w:rFonts w:hint="eastAsia" w:ascii="黑体" w:hAnsi="宋体" w:eastAsia="黑体"/>
          <w:sz w:val="48"/>
          <w:szCs w:val="48"/>
        </w:rPr>
        <w:t>巴宜区觉木街道办2019年度决算明细表</w:t>
      </w:r>
    </w:p>
    <w:p>
      <w:pPr>
        <w:spacing w:beforeLines="50" w:afterLines="50"/>
        <w:jc w:val="center"/>
        <w:rPr>
          <w:rFonts w:ascii="黑体" w:hAnsi="宋体" w:eastAsia="黑体"/>
          <w:sz w:val="48"/>
          <w:szCs w:val="48"/>
        </w:rPr>
      </w:pPr>
      <w:r>
        <w:rPr>
          <w:rFonts w:hint="eastAsia" w:ascii="黑体" w:eastAsia="黑体"/>
          <w:sz w:val="32"/>
          <w:szCs w:val="32"/>
        </w:rPr>
        <w:t>（见附表1－8）</w:t>
      </w:r>
    </w:p>
    <w:p>
      <w:pPr>
        <w:jc w:val="center"/>
        <w:rPr>
          <w:rFonts w:ascii="黑体" w:hAnsi="宋体" w:eastAsia="黑体"/>
          <w:sz w:val="48"/>
          <w:szCs w:val="48"/>
        </w:rPr>
      </w:pPr>
      <w:r>
        <w:rPr>
          <w:rFonts w:hint="eastAsia" w:ascii="黑体" w:hAnsi="宋体" w:eastAsia="黑体"/>
          <w:sz w:val="48"/>
          <w:szCs w:val="48"/>
        </w:rPr>
        <w:t>第三部分</w:t>
      </w:r>
    </w:p>
    <w:p>
      <w:pPr>
        <w:jc w:val="center"/>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觉木街道办（</w:t>
      </w:r>
      <w:r>
        <w:rPr>
          <w:rFonts w:ascii="黑体" w:hAnsi="宋体" w:eastAsia="黑体"/>
          <w:sz w:val="48"/>
          <w:szCs w:val="48"/>
        </w:rPr>
        <w:t>部门</w:t>
      </w:r>
      <w:r>
        <w:rPr>
          <w:rFonts w:hint="eastAsia" w:ascii="黑体" w:hAnsi="宋体" w:eastAsia="黑体"/>
          <w:sz w:val="48"/>
          <w:szCs w:val="48"/>
        </w:rPr>
        <w:t>）2019年度</w:t>
      </w:r>
    </w:p>
    <w:p>
      <w:pPr>
        <w:jc w:val="center"/>
        <w:rPr>
          <w:rFonts w:ascii="黑体" w:hAnsi="宋体" w:eastAsia="黑体"/>
          <w:sz w:val="48"/>
          <w:szCs w:val="48"/>
        </w:rPr>
      </w:pPr>
      <w:r>
        <w:rPr>
          <w:rFonts w:hint="eastAsia" w:ascii="黑体" w:hAnsi="宋体" w:eastAsia="黑体"/>
          <w:sz w:val="48"/>
          <w:szCs w:val="48"/>
        </w:rPr>
        <w:t>决算情况说明</w:t>
      </w:r>
    </w:p>
    <w:p>
      <w:pPr>
        <w:ind w:firstLine="627" w:firstLineChars="196"/>
        <w:rPr>
          <w:rFonts w:ascii="黑体" w:hAnsi="宋体" w:eastAsia="黑体"/>
          <w:sz w:val="32"/>
          <w:szCs w:val="32"/>
        </w:rPr>
      </w:pPr>
      <w:r>
        <w:rPr>
          <w:rFonts w:hint="eastAsia" w:ascii="黑体" w:hAnsi="宋体" w:eastAsia="黑体"/>
          <w:sz w:val="32"/>
          <w:szCs w:val="32"/>
        </w:rPr>
        <w:t>一、2019年度一般公共预算收支总体情况说明</w:t>
      </w:r>
    </w:p>
    <w:p>
      <w:pPr>
        <w:widowControl/>
        <w:spacing w:line="360" w:lineRule="atLeast"/>
        <w:ind w:firstLine="640" w:firstLineChars="200"/>
        <w:jc w:val="left"/>
        <w:rPr>
          <w:rFonts w:ascii="宋体" w:cs="宋体"/>
          <w:color w:val="000000"/>
          <w:kern w:val="0"/>
          <w:szCs w:val="21"/>
        </w:rPr>
      </w:pPr>
      <w:r>
        <w:rPr>
          <w:rFonts w:hint="eastAsia" w:ascii="黑体" w:hAnsi="宋体" w:eastAsia="黑体"/>
          <w:sz w:val="32"/>
          <w:szCs w:val="32"/>
        </w:rPr>
        <w:t xml:space="preserve">  收入</w:t>
      </w:r>
      <w:r>
        <w:rPr>
          <w:rFonts w:hint="eastAsia" w:ascii="宋体" w:hAnsi="宋体" w:cs="宋体"/>
          <w:color w:val="000000"/>
          <w:kern w:val="0"/>
          <w:sz w:val="32"/>
          <w:szCs w:val="32"/>
        </w:rPr>
        <w:t>年初预算数621.23万元，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 xml:space="preserve"> 572万元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，增加49.23万元，增长了7.92%；</w:t>
      </w:r>
      <w:r>
        <w:rPr>
          <w:rFonts w:hint="eastAsia" w:ascii="宋体" w:hAnsi="宋体" w:cs="宋体"/>
          <w:color w:val="000000"/>
          <w:kern w:val="0"/>
          <w:sz w:val="32"/>
          <w:szCs w:val="32"/>
        </w:rPr>
        <w:t>调整预算数578.36万元，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482.13万元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，增加96.23万元，增长了16.64%；</w:t>
      </w:r>
      <w:r>
        <w:rPr>
          <w:rFonts w:hint="eastAsia" w:ascii="宋体" w:hAnsi="宋体" w:cs="宋体"/>
          <w:color w:val="000000"/>
          <w:kern w:val="0"/>
          <w:sz w:val="32"/>
          <w:szCs w:val="32"/>
        </w:rPr>
        <w:t>收入决算数578.36万元</w:t>
      </w:r>
      <w:r>
        <w:rPr>
          <w:rFonts w:hint="eastAsia" w:ascii="宋体" w:hAnsi="宋体" w:cs="宋体"/>
          <w:color w:val="000000"/>
          <w:kern w:val="0"/>
          <w:sz w:val="32"/>
          <w:szCs w:val="32"/>
          <w:lang w:eastAsia="zh-CN"/>
        </w:rPr>
        <w:t>，</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482.13万元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增加96.23万元，增长了16.64%</w:t>
      </w:r>
      <w:r>
        <w:rPr>
          <w:rFonts w:hint="eastAsia" w:ascii="宋体" w:hAnsi="宋体" w:cs="宋体"/>
          <w:color w:val="000000"/>
          <w:kern w:val="0"/>
          <w:sz w:val="32"/>
          <w:szCs w:val="32"/>
        </w:rPr>
        <w:t>。</w:t>
      </w:r>
    </w:p>
    <w:p>
      <w:pPr>
        <w:widowControl/>
        <w:spacing w:line="360" w:lineRule="atLeast"/>
        <w:ind w:firstLine="640" w:firstLineChars="200"/>
        <w:jc w:val="left"/>
        <w:rPr>
          <w:rFonts w:ascii="黑体" w:hAnsi="宋体" w:eastAsia="黑体"/>
          <w:sz w:val="32"/>
          <w:szCs w:val="32"/>
        </w:rPr>
      </w:pPr>
      <w:r>
        <w:rPr>
          <w:rFonts w:hint="eastAsia" w:ascii="黑体" w:hAnsi="宋体" w:eastAsia="黑体"/>
          <w:sz w:val="32"/>
          <w:szCs w:val="32"/>
        </w:rPr>
        <w:t>支出</w:t>
      </w:r>
      <w:r>
        <w:rPr>
          <w:rFonts w:hint="eastAsia" w:ascii="宋体" w:hAnsi="宋体" w:cs="宋体"/>
          <w:color w:val="000000"/>
          <w:kern w:val="0"/>
          <w:sz w:val="32"/>
          <w:szCs w:val="32"/>
        </w:rPr>
        <w:t>年初预算数711.10万元，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572万元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，增加139.1万元，增长了19.56%；</w:t>
      </w:r>
      <w:r>
        <w:rPr>
          <w:rFonts w:hint="eastAsia" w:ascii="宋体" w:hAnsi="宋体" w:cs="宋体"/>
          <w:color w:val="000000"/>
          <w:kern w:val="0"/>
          <w:sz w:val="32"/>
          <w:szCs w:val="32"/>
        </w:rPr>
        <w:t>调整预算数668.23万元，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482.13万元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，增加186.1万元，增长了27.85%；</w:t>
      </w:r>
      <w:r>
        <w:rPr>
          <w:rFonts w:hint="eastAsia" w:ascii="宋体" w:hAnsi="宋体" w:cs="宋体"/>
          <w:color w:val="000000"/>
          <w:kern w:val="0"/>
          <w:sz w:val="32"/>
          <w:szCs w:val="32"/>
        </w:rPr>
        <w:t>支出决算数578.99万元</w:t>
      </w:r>
      <w:r>
        <w:rPr>
          <w:rFonts w:hint="eastAsia" w:ascii="宋体" w:hAnsi="宋体" w:cs="宋体"/>
          <w:color w:val="000000"/>
          <w:kern w:val="0"/>
          <w:sz w:val="32"/>
          <w:szCs w:val="32"/>
          <w:lang w:eastAsia="zh-CN"/>
        </w:rPr>
        <w:t>，</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392.26万元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，增加186.73万元，增长了32.25</w:t>
      </w:r>
      <w:bookmarkStart w:id="0" w:name="_GoBack"/>
      <w:bookmarkEnd w:id="0"/>
      <w:r>
        <w:rPr>
          <w:rFonts w:hint="eastAsia" w:ascii="仿宋_GB2312" w:hAnsi="宋体" w:eastAsia="仿宋_GB2312" w:cs="仿宋_GB2312"/>
          <w:color w:val="000000"/>
          <w:kern w:val="0"/>
          <w:sz w:val="31"/>
          <w:szCs w:val="31"/>
          <w:lang w:val="en-US" w:eastAsia="zh-CN" w:bidi="ar"/>
        </w:rPr>
        <w:t>%</w:t>
      </w:r>
      <w:r>
        <w:rPr>
          <w:rFonts w:hint="eastAsia" w:ascii="宋体" w:hAnsi="宋体" w:cs="宋体"/>
          <w:color w:val="000000"/>
          <w:kern w:val="0"/>
          <w:sz w:val="32"/>
          <w:szCs w:val="32"/>
        </w:rPr>
        <w:t>。</w:t>
      </w:r>
    </w:p>
    <w:p>
      <w:pPr>
        <w:ind w:firstLine="627" w:firstLineChars="196"/>
        <w:rPr>
          <w:rFonts w:ascii="黑体" w:hAnsi="宋体" w:eastAsia="黑体"/>
          <w:sz w:val="32"/>
          <w:szCs w:val="32"/>
        </w:rPr>
      </w:pPr>
      <w:r>
        <w:rPr>
          <w:rFonts w:hint="eastAsia" w:ascii="黑体" w:hAnsi="宋体" w:eastAsia="黑体"/>
          <w:sz w:val="32"/>
          <w:szCs w:val="32"/>
        </w:rPr>
        <w:t>二、2019年度一般公共预算收入情况说明</w:t>
      </w:r>
    </w:p>
    <w:p>
      <w:pPr>
        <w:widowControl/>
        <w:spacing w:line="360" w:lineRule="atLeast"/>
        <w:ind w:firstLine="627" w:firstLineChars="196"/>
        <w:jc w:val="left"/>
        <w:rPr>
          <w:rFonts w:ascii="宋体" w:cs="宋体"/>
          <w:color w:val="000000"/>
          <w:kern w:val="0"/>
          <w:szCs w:val="21"/>
        </w:rPr>
      </w:pPr>
      <w:r>
        <w:rPr>
          <w:rFonts w:hint="eastAsia" w:ascii="宋体" w:hAnsi="宋体" w:cs="宋体"/>
          <w:color w:val="000000"/>
          <w:kern w:val="0"/>
          <w:sz w:val="32"/>
          <w:szCs w:val="32"/>
        </w:rPr>
        <w:t>（一）一般公共预算当年财政拨款规模和结构情况</w:t>
      </w:r>
    </w:p>
    <w:p>
      <w:pPr>
        <w:widowControl/>
        <w:spacing w:line="360" w:lineRule="atLeast"/>
        <w:ind w:firstLine="627" w:firstLineChars="196"/>
        <w:jc w:val="left"/>
        <w:rPr>
          <w:rFonts w:ascii="宋体" w:cs="宋体"/>
          <w:color w:val="000000"/>
          <w:kern w:val="0"/>
          <w:szCs w:val="21"/>
        </w:rPr>
      </w:pPr>
      <w:r>
        <w:rPr>
          <w:rFonts w:hint="eastAsia" w:ascii="宋体" w:hAnsi="宋体" w:cs="宋体"/>
          <w:color w:val="000000"/>
          <w:kern w:val="0"/>
          <w:sz w:val="32"/>
          <w:szCs w:val="32"/>
        </w:rPr>
        <w:t>2019</w:t>
      </w:r>
      <w:r>
        <w:rPr>
          <w:rFonts w:ascii="宋体" w:hAnsi="宋体" w:cs="宋体"/>
          <w:color w:val="000000"/>
          <w:kern w:val="0"/>
          <w:sz w:val="32"/>
          <w:szCs w:val="32"/>
        </w:rPr>
        <w:t>年</w:t>
      </w:r>
      <w:r>
        <w:rPr>
          <w:rFonts w:hint="eastAsia" w:ascii="宋体" w:hAnsi="宋体" w:cs="宋体"/>
          <w:color w:val="000000"/>
          <w:kern w:val="0"/>
          <w:sz w:val="32"/>
          <w:szCs w:val="32"/>
        </w:rPr>
        <w:t>收入578.36万元，其中基本支出收入578.36万元占预算收入的</w:t>
      </w:r>
      <w:r>
        <w:rPr>
          <w:rFonts w:ascii="宋体" w:hAnsi="宋体" w:cs="宋体"/>
          <w:color w:val="000000"/>
          <w:kern w:val="0"/>
          <w:sz w:val="32"/>
          <w:szCs w:val="32"/>
        </w:rPr>
        <w:t>100%</w:t>
      </w:r>
      <w:r>
        <w:rPr>
          <w:rFonts w:hint="eastAsia" w:ascii="宋体" w:hAnsi="宋体" w:cs="宋体"/>
          <w:color w:val="000000"/>
          <w:kern w:val="0"/>
          <w:sz w:val="32"/>
          <w:szCs w:val="32"/>
        </w:rPr>
        <w:t>。</w:t>
      </w:r>
    </w:p>
    <w:p>
      <w:pPr>
        <w:widowControl/>
        <w:spacing w:line="360" w:lineRule="atLeast"/>
        <w:ind w:firstLine="640" w:firstLineChars="200"/>
        <w:jc w:val="left"/>
        <w:rPr>
          <w:rFonts w:ascii="宋体" w:cs="宋体"/>
          <w:color w:val="000000"/>
          <w:kern w:val="0"/>
          <w:szCs w:val="21"/>
        </w:rPr>
      </w:pPr>
      <w:r>
        <w:rPr>
          <w:rFonts w:hint="eastAsia" w:ascii="宋体" w:hAnsi="宋体" w:cs="宋体"/>
          <w:color w:val="000000"/>
          <w:kern w:val="0"/>
          <w:sz w:val="32"/>
          <w:szCs w:val="32"/>
        </w:rPr>
        <w:t>（二）一般公共预算当年财政拨款具体使用情况</w:t>
      </w:r>
    </w:p>
    <w:p>
      <w:pPr>
        <w:widowControl/>
        <w:tabs>
          <w:tab w:val="left" w:pos="142"/>
        </w:tabs>
        <w:spacing w:line="360" w:lineRule="atLeast"/>
        <w:ind w:firstLine="640" w:firstLineChars="200"/>
        <w:jc w:val="left"/>
        <w:rPr>
          <w:rFonts w:ascii="宋体" w:cs="宋体"/>
          <w:color w:val="000000"/>
          <w:kern w:val="0"/>
          <w:szCs w:val="21"/>
        </w:rPr>
      </w:pPr>
      <w:r>
        <w:rPr>
          <w:rFonts w:ascii="宋体" w:hAnsi="宋体" w:cs="宋体"/>
          <w:color w:val="000000"/>
          <w:kern w:val="0"/>
          <w:sz w:val="32"/>
          <w:szCs w:val="32"/>
        </w:rPr>
        <w:t>1.</w:t>
      </w:r>
      <w:r>
        <w:rPr>
          <w:rFonts w:hint="eastAsia" w:ascii="宋体" w:hAnsi="宋体" w:cs="宋体"/>
          <w:color w:val="000000"/>
          <w:kern w:val="0"/>
          <w:sz w:val="32"/>
          <w:szCs w:val="32"/>
        </w:rPr>
        <w:t>城乡社区（类）城乡社区管理事务（款）行政运行（项）：552.19万元。</w:t>
      </w:r>
    </w:p>
    <w:p>
      <w:pPr>
        <w:widowControl/>
        <w:spacing w:line="360" w:lineRule="atLeast"/>
        <w:ind w:firstLine="630"/>
        <w:jc w:val="left"/>
        <w:rPr>
          <w:rFonts w:ascii="宋体" w:cs="宋体"/>
          <w:color w:val="000000"/>
          <w:kern w:val="0"/>
          <w:sz w:val="32"/>
          <w:szCs w:val="32"/>
        </w:rPr>
      </w:pPr>
      <w:r>
        <w:rPr>
          <w:rFonts w:ascii="宋体" w:hAnsi="宋体" w:cs="宋体"/>
          <w:color w:val="000000"/>
          <w:kern w:val="0"/>
          <w:sz w:val="32"/>
          <w:szCs w:val="32"/>
        </w:rPr>
        <w:t>2</w:t>
      </w:r>
      <w:r>
        <w:rPr>
          <w:rFonts w:ascii="宋体" w:cs="宋体"/>
          <w:color w:val="000000"/>
          <w:kern w:val="0"/>
          <w:sz w:val="32"/>
          <w:szCs w:val="32"/>
        </w:rPr>
        <w:t>.</w:t>
      </w:r>
      <w:r>
        <w:rPr>
          <w:rFonts w:hint="eastAsia" w:ascii="宋体" w:hAnsi="宋体" w:cs="宋体"/>
          <w:color w:val="000000"/>
          <w:kern w:val="0"/>
          <w:sz w:val="32"/>
          <w:szCs w:val="32"/>
        </w:rPr>
        <w:t>住房保障支出（类）住房改革支出（款）购房补贴（项）：26.17万元。</w:t>
      </w:r>
    </w:p>
    <w:p>
      <w:pPr>
        <w:widowControl/>
        <w:spacing w:line="360" w:lineRule="atLeast"/>
        <w:ind w:firstLine="627" w:firstLineChars="196"/>
        <w:jc w:val="left"/>
        <w:rPr>
          <w:rFonts w:ascii="黑体" w:hAnsi="宋体" w:eastAsia="黑体"/>
          <w:sz w:val="32"/>
          <w:szCs w:val="32"/>
        </w:rPr>
      </w:pPr>
      <w:r>
        <w:rPr>
          <w:rFonts w:hint="eastAsia" w:ascii="黑体" w:hAnsi="宋体" w:eastAsia="黑体"/>
          <w:sz w:val="32"/>
          <w:szCs w:val="32"/>
        </w:rPr>
        <w:t>三、2019年度一般公共预算支出情况说明</w:t>
      </w:r>
    </w:p>
    <w:p>
      <w:pPr>
        <w:ind w:firstLine="627" w:firstLineChars="196"/>
        <w:rPr>
          <w:rFonts w:ascii="黑体" w:hAnsi="宋体" w:eastAsia="黑体"/>
          <w:sz w:val="32"/>
          <w:szCs w:val="32"/>
        </w:rPr>
      </w:pPr>
      <w:r>
        <w:rPr>
          <w:rFonts w:hint="eastAsia" w:ascii="宋体" w:hAnsi="宋体" w:cs="宋体"/>
          <w:color w:val="000000"/>
          <w:kern w:val="0"/>
          <w:sz w:val="32"/>
          <w:szCs w:val="32"/>
        </w:rPr>
        <w:t>2019</w:t>
      </w:r>
      <w:r>
        <w:rPr>
          <w:rFonts w:ascii="宋体" w:hAnsi="宋体" w:cs="宋体"/>
          <w:color w:val="000000"/>
          <w:kern w:val="0"/>
          <w:sz w:val="32"/>
          <w:szCs w:val="32"/>
        </w:rPr>
        <w:t>年</w:t>
      </w:r>
      <w:r>
        <w:rPr>
          <w:rFonts w:hint="eastAsia" w:ascii="宋体" w:hAnsi="宋体" w:cs="宋体"/>
          <w:color w:val="000000"/>
          <w:kern w:val="0"/>
          <w:sz w:val="32"/>
          <w:szCs w:val="32"/>
        </w:rPr>
        <w:t>度财政拨款预算支出为578.99万元</w:t>
      </w:r>
    </w:p>
    <w:p>
      <w:pPr>
        <w:ind w:firstLine="627" w:firstLineChars="196"/>
        <w:rPr>
          <w:rFonts w:ascii="黑体" w:hAnsi="宋体" w:eastAsia="黑体"/>
          <w:sz w:val="32"/>
          <w:szCs w:val="32"/>
        </w:rPr>
      </w:pPr>
      <w:r>
        <w:rPr>
          <w:rFonts w:hint="eastAsia" w:ascii="黑体" w:hAnsi="宋体" w:eastAsia="黑体"/>
          <w:sz w:val="32"/>
          <w:szCs w:val="32"/>
        </w:rPr>
        <w:t>四</w:t>
      </w:r>
      <w:r>
        <w:rPr>
          <w:rFonts w:ascii="黑体" w:hAnsi="宋体" w:eastAsia="黑体"/>
          <w:sz w:val="32"/>
          <w:szCs w:val="32"/>
        </w:rPr>
        <w:t>、</w:t>
      </w:r>
      <w:r>
        <w:rPr>
          <w:rFonts w:hint="eastAsia" w:ascii="黑体" w:hAnsi="宋体" w:eastAsia="黑体"/>
          <w:sz w:val="32"/>
          <w:szCs w:val="32"/>
        </w:rPr>
        <w:t>2019年度一般公共预算财政拨款支出情况说明</w:t>
      </w:r>
    </w:p>
    <w:p>
      <w:pPr>
        <w:ind w:firstLine="640" w:firstLineChars="200"/>
        <w:rPr>
          <w:rFonts w:ascii="楷体_GB2312" w:eastAsia="楷体_GB2312"/>
          <w:sz w:val="32"/>
          <w:szCs w:val="32"/>
        </w:rPr>
      </w:pPr>
      <w:r>
        <w:rPr>
          <w:rFonts w:hint="eastAsia" w:ascii="楷体_GB2312" w:eastAsia="楷体_GB2312"/>
          <w:sz w:val="32"/>
          <w:szCs w:val="32"/>
        </w:rPr>
        <w:t>（一）财政拨款支出决算总体情况</w:t>
      </w:r>
    </w:p>
    <w:p>
      <w:pPr>
        <w:widowControl/>
        <w:spacing w:line="360" w:lineRule="atLeast"/>
        <w:ind w:firstLine="627" w:firstLineChars="196"/>
        <w:jc w:val="left"/>
        <w:rPr>
          <w:rFonts w:ascii="宋体" w:cs="宋体"/>
          <w:color w:val="000000"/>
          <w:kern w:val="0"/>
          <w:szCs w:val="21"/>
        </w:rPr>
      </w:pPr>
      <w:r>
        <w:rPr>
          <w:rFonts w:hint="eastAsia" w:ascii="宋体" w:hAnsi="宋体" w:cs="宋体"/>
          <w:color w:val="000000"/>
          <w:kern w:val="0"/>
          <w:sz w:val="32"/>
          <w:szCs w:val="32"/>
        </w:rPr>
        <w:t>2019</w:t>
      </w:r>
      <w:r>
        <w:rPr>
          <w:rFonts w:ascii="宋体" w:hAnsi="宋体" w:cs="宋体"/>
          <w:color w:val="000000"/>
          <w:kern w:val="0"/>
          <w:sz w:val="32"/>
          <w:szCs w:val="32"/>
        </w:rPr>
        <w:t>年</w:t>
      </w:r>
      <w:r>
        <w:rPr>
          <w:rFonts w:hint="eastAsia" w:ascii="宋体" w:hAnsi="宋体" w:cs="宋体"/>
          <w:color w:val="000000"/>
          <w:kern w:val="0"/>
          <w:sz w:val="32"/>
          <w:szCs w:val="32"/>
        </w:rPr>
        <w:t>支出578.99万元，其中基本支出578.99万元，占预算收入的</w:t>
      </w:r>
      <w:r>
        <w:rPr>
          <w:rFonts w:ascii="宋体" w:hAnsi="宋体" w:cs="宋体"/>
          <w:color w:val="000000"/>
          <w:kern w:val="0"/>
          <w:sz w:val="32"/>
          <w:szCs w:val="32"/>
        </w:rPr>
        <w:t>100%</w:t>
      </w:r>
      <w:r>
        <w:rPr>
          <w:rFonts w:hint="eastAsia" w:ascii="宋体" w:hAnsi="宋体" w:cs="宋体"/>
          <w:color w:val="000000"/>
          <w:kern w:val="0"/>
          <w:sz w:val="32"/>
          <w:szCs w:val="32"/>
        </w:rPr>
        <w:t>。</w:t>
      </w:r>
    </w:p>
    <w:p>
      <w:pPr>
        <w:ind w:firstLine="640" w:firstLineChars="200"/>
        <w:rPr>
          <w:rFonts w:ascii="楷体_GB2312" w:eastAsia="楷体_GB2312"/>
          <w:sz w:val="32"/>
          <w:szCs w:val="32"/>
        </w:rPr>
      </w:pPr>
      <w:r>
        <w:rPr>
          <w:rFonts w:hint="eastAsia" w:ascii="楷体_GB2312" w:eastAsia="楷体_GB2312"/>
          <w:sz w:val="32"/>
          <w:szCs w:val="32"/>
        </w:rPr>
        <w:t>（二）财政拨款支出决算结构情况</w:t>
      </w:r>
    </w:p>
    <w:p>
      <w:pPr>
        <w:widowControl/>
        <w:spacing w:line="360" w:lineRule="atLeast"/>
        <w:ind w:firstLine="627" w:firstLineChars="196"/>
        <w:jc w:val="left"/>
        <w:rPr>
          <w:rFonts w:ascii="宋体" w:cs="宋体"/>
          <w:color w:val="000000"/>
          <w:kern w:val="0"/>
          <w:szCs w:val="21"/>
        </w:rPr>
      </w:pPr>
      <w:r>
        <w:rPr>
          <w:rFonts w:hint="eastAsia" w:ascii="宋体" w:hAnsi="宋体" w:cs="宋体"/>
          <w:color w:val="000000"/>
          <w:kern w:val="0"/>
          <w:sz w:val="32"/>
          <w:szCs w:val="32"/>
        </w:rPr>
        <w:t>2019</w:t>
      </w:r>
      <w:r>
        <w:rPr>
          <w:rFonts w:ascii="宋体" w:hAnsi="宋体" w:cs="宋体"/>
          <w:color w:val="000000"/>
          <w:kern w:val="0"/>
          <w:sz w:val="32"/>
          <w:szCs w:val="32"/>
        </w:rPr>
        <w:t>年</w:t>
      </w:r>
      <w:r>
        <w:rPr>
          <w:rFonts w:hint="eastAsia" w:ascii="宋体" w:hAnsi="宋体" w:cs="宋体"/>
          <w:color w:val="000000"/>
          <w:kern w:val="0"/>
          <w:sz w:val="32"/>
          <w:szCs w:val="32"/>
        </w:rPr>
        <w:t>街道办支出578.99万元，其中基本支出578.99万元，包括双拥路社区、沿河社区的支出。</w:t>
      </w:r>
    </w:p>
    <w:p>
      <w:pPr>
        <w:ind w:firstLine="640" w:firstLineChars="200"/>
        <w:rPr>
          <w:rFonts w:ascii="楷体_GB2312" w:eastAsia="楷体_GB2312"/>
          <w:sz w:val="32"/>
          <w:szCs w:val="32"/>
        </w:rPr>
      </w:pPr>
      <w:r>
        <w:rPr>
          <w:rFonts w:hint="eastAsia" w:ascii="楷体_GB2312" w:eastAsia="楷体_GB2312"/>
          <w:sz w:val="32"/>
          <w:szCs w:val="32"/>
        </w:rPr>
        <w:t>（三）财政拨款支出决算具体情况</w:t>
      </w:r>
    </w:p>
    <w:p>
      <w:pPr>
        <w:widowControl/>
        <w:tabs>
          <w:tab w:val="left" w:pos="142"/>
        </w:tabs>
        <w:spacing w:line="360" w:lineRule="atLeast"/>
        <w:ind w:firstLine="640" w:firstLineChars="200"/>
        <w:jc w:val="left"/>
        <w:rPr>
          <w:rFonts w:ascii="宋体" w:cs="宋体"/>
          <w:color w:val="000000"/>
          <w:kern w:val="0"/>
          <w:szCs w:val="21"/>
        </w:rPr>
      </w:pPr>
      <w:r>
        <w:rPr>
          <w:rFonts w:ascii="宋体" w:hAnsi="宋体" w:cs="宋体"/>
          <w:color w:val="000000"/>
          <w:kern w:val="0"/>
          <w:sz w:val="32"/>
          <w:szCs w:val="32"/>
        </w:rPr>
        <w:t>1.</w:t>
      </w:r>
      <w:r>
        <w:rPr>
          <w:rFonts w:hint="eastAsia" w:ascii="宋体" w:hAnsi="宋体" w:cs="宋体"/>
          <w:color w:val="000000"/>
          <w:kern w:val="0"/>
          <w:sz w:val="32"/>
          <w:szCs w:val="32"/>
        </w:rPr>
        <w:t>城乡社区（类）城乡社区管理事务（款）行政运行（项）：552.19万元。</w:t>
      </w:r>
    </w:p>
    <w:p>
      <w:pPr>
        <w:widowControl/>
        <w:spacing w:line="360" w:lineRule="atLeast"/>
        <w:ind w:firstLine="630"/>
        <w:jc w:val="left"/>
        <w:rPr>
          <w:rFonts w:ascii="宋体" w:cs="宋体"/>
          <w:color w:val="000000"/>
          <w:kern w:val="0"/>
          <w:sz w:val="32"/>
          <w:szCs w:val="32"/>
        </w:rPr>
      </w:pPr>
      <w:r>
        <w:rPr>
          <w:rFonts w:ascii="宋体" w:hAnsi="宋体" w:cs="宋体"/>
          <w:color w:val="000000"/>
          <w:kern w:val="0"/>
          <w:sz w:val="32"/>
          <w:szCs w:val="32"/>
        </w:rPr>
        <w:t>2</w:t>
      </w:r>
      <w:r>
        <w:rPr>
          <w:rFonts w:ascii="宋体" w:cs="宋体"/>
          <w:color w:val="000000"/>
          <w:kern w:val="0"/>
          <w:sz w:val="32"/>
          <w:szCs w:val="32"/>
        </w:rPr>
        <w:t>.</w:t>
      </w:r>
      <w:r>
        <w:rPr>
          <w:rFonts w:hint="eastAsia" w:ascii="宋体" w:hAnsi="宋体" w:cs="宋体"/>
          <w:color w:val="000000"/>
          <w:kern w:val="0"/>
          <w:sz w:val="32"/>
          <w:szCs w:val="32"/>
        </w:rPr>
        <w:t>住房保障支出（类）住房改革支出（款）购房补贴（项）：26.17万元。</w:t>
      </w:r>
    </w:p>
    <w:p>
      <w:pPr>
        <w:ind w:firstLine="630" w:firstLineChars="196"/>
        <w:rPr>
          <w:rFonts w:ascii="黑体" w:hAnsi="宋体" w:eastAsia="黑体"/>
          <w:b/>
          <w:sz w:val="32"/>
          <w:szCs w:val="32"/>
        </w:rPr>
      </w:pPr>
      <w:r>
        <w:rPr>
          <w:rFonts w:hint="eastAsia" w:ascii="黑体" w:hAnsi="宋体" w:eastAsia="黑体"/>
          <w:b/>
          <w:sz w:val="32"/>
          <w:szCs w:val="32"/>
        </w:rPr>
        <w:t>五、2019年度“三公”经费预决算情况说明</w:t>
      </w:r>
    </w:p>
    <w:p>
      <w:pPr>
        <w:shd w:val="clear" w:color="auto" w:fill="FFFFFF"/>
        <w:spacing w:line="520" w:lineRule="atLeast"/>
        <w:ind w:firstLine="645"/>
        <w:rPr>
          <w:rFonts w:ascii="宋体" w:hAnsi="宋体"/>
          <w:color w:val="333333"/>
          <w:sz w:val="32"/>
          <w:szCs w:val="32"/>
          <w:shd w:val="clear" w:color="auto" w:fill="FFFFFF"/>
        </w:rPr>
      </w:pPr>
      <w:r>
        <w:rPr>
          <w:rFonts w:hint="eastAsia" w:ascii="宋体" w:hAnsi="宋体" w:cs="宋体"/>
          <w:color w:val="000000"/>
          <w:kern w:val="0"/>
          <w:sz w:val="32"/>
          <w:szCs w:val="32"/>
        </w:rPr>
        <w:t>为有效落实中央、自治区、市委关于厉行节约的各项规定，进一步规范因公出国（境）经费、公务用车购置及运行费、公务接待费的管理，从严控制“三公”经费开支，树立勤俭节约的良好风气，我街道办不断强化责任意识，在保证正常工作开展的前提下，进一步挖掘节约潜力，</w:t>
      </w:r>
      <w:r>
        <w:rPr>
          <w:rFonts w:hint="eastAsia" w:ascii="宋体" w:hAnsi="宋体"/>
          <w:color w:val="333333"/>
          <w:sz w:val="32"/>
          <w:szCs w:val="32"/>
          <w:shd w:val="clear" w:color="auto" w:fill="FFFFFF"/>
        </w:rPr>
        <w:t>从源头上控制了“三公”经费的支出，提高了财政资金的使用效率，打造了高效、廉洁、节俭、务实的机关。</w:t>
      </w:r>
    </w:p>
    <w:p>
      <w:pPr>
        <w:widowControl/>
        <w:shd w:val="clear" w:color="auto" w:fill="FFFFFF"/>
        <w:spacing w:line="520" w:lineRule="atLeast"/>
        <w:ind w:firstLine="645"/>
        <w:jc w:val="left"/>
        <w:rPr>
          <w:rFonts w:ascii="宋体" w:hAnsi="宋体"/>
          <w:sz w:val="32"/>
          <w:szCs w:val="32"/>
        </w:rPr>
      </w:pPr>
      <w:r>
        <w:rPr>
          <w:rFonts w:hint="eastAsia" w:ascii="宋体" w:hAnsi="宋体"/>
          <w:sz w:val="32"/>
          <w:szCs w:val="32"/>
        </w:rPr>
        <w:t>2019年街道办“三公”经费预算总数0万元，</w:t>
      </w:r>
      <w:r>
        <w:rPr>
          <w:rFonts w:hint="eastAsia" w:ascii="宋体" w:hAnsi="宋体" w:cs="宋体"/>
          <w:color w:val="000000"/>
          <w:kern w:val="0"/>
          <w:sz w:val="32"/>
          <w:szCs w:val="32"/>
        </w:rPr>
        <w:t>2019年公务接待数0万元，公务用车运行及维护费0万元，</w:t>
      </w:r>
      <w:r>
        <w:rPr>
          <w:rFonts w:hint="eastAsia" w:ascii="宋体" w:hAnsi="宋体"/>
          <w:sz w:val="32"/>
          <w:szCs w:val="32"/>
        </w:rPr>
        <w:t>公务用车与2018年相比减少了0。</w:t>
      </w:r>
    </w:p>
    <w:p>
      <w:pPr>
        <w:ind w:firstLine="640" w:firstLineChars="200"/>
        <w:rPr>
          <w:rFonts w:ascii="宋体" w:hAnsi="宋体"/>
          <w:sz w:val="32"/>
          <w:szCs w:val="32"/>
        </w:rPr>
      </w:pPr>
      <w:r>
        <w:rPr>
          <w:rFonts w:hint="eastAsia" w:ascii="宋体" w:hAnsi="宋体"/>
          <w:sz w:val="32"/>
          <w:szCs w:val="32"/>
        </w:rPr>
        <w:t>1.</w:t>
      </w:r>
      <w:r>
        <w:rPr>
          <w:rFonts w:hint="eastAsia" w:ascii="宋体" w:hAnsi="宋体" w:cs="宋体"/>
          <w:color w:val="000000"/>
          <w:kern w:val="0"/>
          <w:sz w:val="32"/>
          <w:szCs w:val="32"/>
        </w:rPr>
        <w:t>公务用车购置及运行费</w:t>
      </w:r>
      <w:r>
        <w:rPr>
          <w:rFonts w:hint="eastAsia" w:ascii="宋体" w:hAnsi="宋体"/>
          <w:sz w:val="32"/>
          <w:szCs w:val="32"/>
        </w:rPr>
        <w:t>。全部为一辆公车运行维护费。开支主要用于街道城区办公等支出。由于汽油燃料价格持续上涨，且使部分车辆、车况老化、导致燃油费、车辆保养费维修费用较大。</w:t>
      </w:r>
    </w:p>
    <w:p>
      <w:pPr>
        <w:shd w:val="clear" w:color="auto" w:fill="FFFFFF"/>
        <w:spacing w:line="520" w:lineRule="atLeast"/>
        <w:ind w:firstLine="645"/>
        <w:rPr>
          <w:rFonts w:ascii="宋体" w:hAnsi="宋体" w:cs="仿宋_GB2312"/>
          <w:color w:val="000000"/>
          <w:kern w:val="0"/>
          <w:sz w:val="32"/>
          <w:szCs w:val="32"/>
        </w:rPr>
      </w:pPr>
      <w:r>
        <w:rPr>
          <w:rFonts w:hint="eastAsia" w:ascii="宋体" w:hAnsi="宋体" w:cs="仿宋_GB2312"/>
          <w:sz w:val="32"/>
          <w:szCs w:val="32"/>
        </w:rPr>
        <w:t>2.公务接待经费。2019年我单位未承担接待任务</w:t>
      </w:r>
      <w:r>
        <w:rPr>
          <w:rFonts w:hint="eastAsia" w:ascii="宋体" w:hAnsi="宋体" w:cs="仿宋_GB2312"/>
          <w:color w:val="000000"/>
          <w:kern w:val="0"/>
          <w:sz w:val="32"/>
          <w:szCs w:val="32"/>
        </w:rPr>
        <w:t>； 2019年接待共计0批次0人次。</w:t>
      </w:r>
    </w:p>
    <w:p>
      <w:pPr>
        <w:shd w:val="clear" w:color="auto" w:fill="FFFFFF"/>
        <w:spacing w:line="520" w:lineRule="atLeast"/>
        <w:ind w:firstLine="645"/>
        <w:rPr>
          <w:rFonts w:ascii="宋体" w:hAnsi="宋体" w:cs="宋体"/>
          <w:color w:val="000000"/>
          <w:kern w:val="0"/>
          <w:sz w:val="32"/>
          <w:szCs w:val="32"/>
        </w:rPr>
      </w:pPr>
      <w:r>
        <w:rPr>
          <w:rFonts w:hint="eastAsia" w:ascii="宋体" w:hAnsi="宋体" w:cs="宋体"/>
          <w:color w:val="000000"/>
          <w:kern w:val="0"/>
          <w:sz w:val="32"/>
          <w:szCs w:val="32"/>
        </w:rPr>
        <w:t xml:space="preserve">主要做法：  </w:t>
      </w:r>
    </w:p>
    <w:p>
      <w:pPr>
        <w:ind w:firstLine="627"/>
        <w:rPr>
          <w:rFonts w:ascii="宋体" w:hAnsi="宋体" w:cs="宋体"/>
          <w:color w:val="000000"/>
          <w:kern w:val="0"/>
          <w:sz w:val="32"/>
          <w:szCs w:val="32"/>
        </w:rPr>
      </w:pPr>
      <w:r>
        <w:rPr>
          <w:rFonts w:hint="eastAsia" w:ascii="宋体" w:hAnsi="宋体" w:cs="宋体"/>
          <w:color w:val="000000"/>
          <w:kern w:val="0"/>
          <w:sz w:val="32"/>
          <w:szCs w:val="32"/>
        </w:rPr>
        <w:t>一、积极开展宣传教育，年初组织干部职工认真学习了区委区政府关于加强党风廉政建设相关文件，要求干部职工将文件精神落实到行动上，反对浪费厉行节约。</w:t>
      </w:r>
    </w:p>
    <w:p>
      <w:pPr>
        <w:ind w:firstLine="627"/>
        <w:rPr>
          <w:rFonts w:ascii="宋体" w:hAnsi="宋体"/>
          <w:sz w:val="32"/>
          <w:szCs w:val="32"/>
        </w:rPr>
      </w:pPr>
      <w:r>
        <w:rPr>
          <w:rFonts w:hint="eastAsia" w:ascii="宋体" w:hAnsi="宋体"/>
          <w:sz w:val="32"/>
          <w:szCs w:val="32"/>
        </w:rPr>
        <w:t>二、强化责任意识，严格控制“三公”经费的开支，严格公车管理，建立了公务用车油耗、维护支出登记制度。</w:t>
      </w:r>
    </w:p>
    <w:p>
      <w:pPr>
        <w:ind w:firstLine="627"/>
        <w:rPr>
          <w:rFonts w:ascii="方正小标宋简体" w:hAnsi="宋体" w:eastAsia="方正小标宋简体"/>
          <w:sz w:val="36"/>
          <w:szCs w:val="36"/>
        </w:rPr>
      </w:pPr>
      <w:r>
        <w:rPr>
          <w:rFonts w:hint="eastAsia" w:ascii="宋体" w:hAnsi="宋体"/>
          <w:sz w:val="32"/>
          <w:szCs w:val="32"/>
        </w:rPr>
        <w:t>三、定期公开，在单位内部设立公示栏，每季度公开一次三公经费支出情况，接受干部职工的监督和评议。</w:t>
      </w:r>
    </w:p>
    <w:p>
      <w:pPr>
        <w:ind w:firstLine="627"/>
        <w:rPr>
          <w:rFonts w:ascii="方正小标宋简体" w:hAnsi="宋体" w:eastAsia="方正小标宋简体"/>
          <w:sz w:val="36"/>
          <w:szCs w:val="36"/>
        </w:rPr>
      </w:pPr>
    </w:p>
    <w:p>
      <w:pPr>
        <w:ind w:firstLine="627"/>
        <w:rPr>
          <w:rFonts w:ascii="方正小标宋简体" w:hAnsi="宋体" w:eastAsia="方正小标宋简体" w:cs="宋体"/>
          <w:bCs/>
          <w:kern w:val="0"/>
          <w:sz w:val="36"/>
          <w:szCs w:val="36"/>
        </w:rPr>
      </w:pPr>
      <w:r>
        <w:rPr>
          <w:rFonts w:hint="eastAsia" w:ascii="方正小标宋简体" w:hAnsi="宋体" w:eastAsia="方正小标宋简体"/>
          <w:sz w:val="36"/>
          <w:szCs w:val="36"/>
        </w:rPr>
        <w:t>觉木</w:t>
      </w:r>
      <w:r>
        <w:rPr>
          <w:rFonts w:hint="eastAsia" w:ascii="方正小标宋简体" w:hAnsi="宋体" w:eastAsia="方正小标宋简体" w:cs="宋体"/>
          <w:bCs/>
          <w:kern w:val="0"/>
          <w:sz w:val="36"/>
          <w:szCs w:val="36"/>
        </w:rPr>
        <w:t>街道办（部门）2019年“三公”经费情况表</w:t>
      </w:r>
    </w:p>
    <w:p>
      <w:pPr>
        <w:ind w:right="120"/>
        <w:jc w:val="right"/>
        <w:rPr>
          <w:rFonts w:ascii="宋体" w:hAnsi="宋体"/>
          <w:sz w:val="28"/>
          <w:szCs w:val="28"/>
        </w:rPr>
      </w:pPr>
      <w:r>
        <w:rPr>
          <w:rFonts w:hint="eastAsia" w:ascii="宋体" w:hAnsi="宋体" w:cs="宋体"/>
          <w:kern w:val="0"/>
          <w:sz w:val="28"/>
          <w:szCs w:val="28"/>
        </w:rPr>
        <w:t>单位：万元</w:t>
      </w:r>
    </w:p>
    <w:tbl>
      <w:tblPr>
        <w:tblStyle w:val="7"/>
        <w:tblW w:w="8969" w:type="dxa"/>
        <w:jc w:val="center"/>
        <w:tblInd w:w="0" w:type="dxa"/>
        <w:tblLayout w:type="fixed"/>
        <w:tblCellMar>
          <w:top w:w="0" w:type="dxa"/>
          <w:left w:w="108" w:type="dxa"/>
          <w:bottom w:w="0" w:type="dxa"/>
          <w:right w:w="108" w:type="dxa"/>
        </w:tblCellMar>
      </w:tblPr>
      <w:tblGrid>
        <w:gridCol w:w="4160"/>
        <w:gridCol w:w="1417"/>
        <w:gridCol w:w="1549"/>
        <w:gridCol w:w="1843"/>
      </w:tblGrid>
      <w:tr>
        <w:tblPrEx>
          <w:tblLayout w:type="fixed"/>
          <w:tblCellMar>
            <w:top w:w="0" w:type="dxa"/>
            <w:left w:w="108" w:type="dxa"/>
            <w:bottom w:w="0" w:type="dxa"/>
            <w:right w:w="108" w:type="dxa"/>
          </w:tblCellMar>
        </w:tblPrEx>
        <w:trPr>
          <w:trHeight w:val="567" w:hRule="exact"/>
          <w:jc w:val="center"/>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项目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预算数</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决算数</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备注</w:t>
            </w:r>
          </w:p>
        </w:tc>
      </w:tr>
      <w:tr>
        <w:tblPrEx>
          <w:tblLayout w:type="fixed"/>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合计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0</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0</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1.因公出国（境）费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2.公务接待费</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0</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0</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3.公务用车经费</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0</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0</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其中：（1）公务用车运行维护费</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0</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xml:space="preserve">      （2）公务用车购置</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8"/>
                <w:szCs w:val="28"/>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bl>
    <w:p>
      <w:pPr>
        <w:rPr>
          <w:rFonts w:ascii="黑体" w:hAnsi="宋体" w:eastAsia="黑体"/>
          <w:sz w:val="32"/>
          <w:szCs w:val="32"/>
        </w:rPr>
      </w:pPr>
      <w:r>
        <w:rPr>
          <w:rFonts w:hint="eastAsia" w:ascii="黑体" w:hAnsi="宋体" w:eastAsia="黑体"/>
          <w:sz w:val="32"/>
          <w:szCs w:val="32"/>
        </w:rPr>
        <w:t xml:space="preserve">    六、2019年度</w:t>
      </w:r>
      <w:r>
        <w:rPr>
          <w:rFonts w:ascii="黑体" w:hAnsi="宋体" w:eastAsia="黑体"/>
          <w:sz w:val="32"/>
          <w:szCs w:val="32"/>
        </w:rPr>
        <w:t>机关运行情况说明</w:t>
      </w:r>
    </w:p>
    <w:p>
      <w:pPr>
        <w:ind w:firstLine="640" w:firstLineChars="200"/>
        <w:rPr>
          <w:rFonts w:ascii="仿宋" w:hAnsi="仿宋" w:eastAsia="仿宋"/>
          <w:sz w:val="32"/>
          <w:szCs w:val="32"/>
        </w:rPr>
      </w:pPr>
      <w:r>
        <w:rPr>
          <w:rFonts w:hint="eastAsia" w:ascii="仿宋" w:hAnsi="仿宋" w:eastAsia="仿宋"/>
          <w:sz w:val="32"/>
          <w:szCs w:val="32"/>
        </w:rPr>
        <w:t>（一）2019年本部门（含</w:t>
      </w:r>
      <w:r>
        <w:rPr>
          <w:rFonts w:ascii="仿宋" w:hAnsi="仿宋" w:eastAsia="仿宋"/>
          <w:sz w:val="32"/>
          <w:szCs w:val="32"/>
        </w:rPr>
        <w:t>下属单位）</w:t>
      </w:r>
      <w:r>
        <w:rPr>
          <w:rFonts w:hint="eastAsia" w:ascii="仿宋" w:hAnsi="仿宋" w:eastAsia="仿宋"/>
          <w:sz w:val="32"/>
          <w:szCs w:val="32"/>
        </w:rPr>
        <w:t>履行</w:t>
      </w:r>
      <w:r>
        <w:rPr>
          <w:rFonts w:ascii="仿宋" w:hAnsi="仿宋" w:eastAsia="仿宋"/>
          <w:sz w:val="32"/>
          <w:szCs w:val="32"/>
        </w:rPr>
        <w:t>一般行政事业管理职能、维持机关运行，用一般公用预算安排的行政经费，合计</w:t>
      </w:r>
      <w:r>
        <w:rPr>
          <w:rFonts w:hint="eastAsia" w:ascii="仿宋" w:hAnsi="仿宋" w:eastAsia="仿宋"/>
          <w:sz w:val="32"/>
          <w:szCs w:val="32"/>
        </w:rPr>
        <w:t>578.99万元。其中</w:t>
      </w:r>
      <w:r>
        <w:rPr>
          <w:rFonts w:ascii="仿宋" w:hAnsi="仿宋" w:eastAsia="仿宋"/>
          <w:sz w:val="32"/>
          <w:szCs w:val="32"/>
        </w:rPr>
        <w:t>，</w:t>
      </w:r>
      <w:r>
        <w:rPr>
          <w:rFonts w:hint="eastAsia" w:ascii="仿宋" w:hAnsi="仿宋" w:eastAsia="仿宋"/>
          <w:sz w:val="32"/>
          <w:szCs w:val="32"/>
        </w:rPr>
        <w:t>基本支出578.99万元，</w:t>
      </w:r>
      <w:r>
        <w:rPr>
          <w:rFonts w:ascii="仿宋" w:hAnsi="仿宋" w:eastAsia="仿宋"/>
          <w:sz w:val="32"/>
          <w:szCs w:val="32"/>
        </w:rPr>
        <w:t>项目支出</w:t>
      </w:r>
      <w:r>
        <w:rPr>
          <w:rFonts w:hint="eastAsia" w:ascii="仿宋" w:hAnsi="仿宋" w:eastAsia="仿宋"/>
          <w:sz w:val="32"/>
          <w:szCs w:val="32"/>
        </w:rPr>
        <w:t>0万元</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机关</w:t>
      </w:r>
      <w:r>
        <w:rPr>
          <w:rFonts w:ascii="仿宋" w:hAnsi="仿宋" w:eastAsia="仿宋"/>
          <w:sz w:val="32"/>
          <w:szCs w:val="32"/>
        </w:rPr>
        <w:t>运行经费预算的内容</w:t>
      </w:r>
    </w:p>
    <w:p>
      <w:pPr>
        <w:ind w:firstLine="640" w:firstLineChars="200"/>
        <w:rPr>
          <w:rFonts w:ascii="仿宋" w:hAnsi="仿宋" w:eastAsia="仿宋"/>
          <w:sz w:val="32"/>
          <w:szCs w:val="32"/>
        </w:rPr>
      </w:pPr>
      <w:r>
        <w:rPr>
          <w:rFonts w:hint="eastAsia" w:ascii="仿宋" w:hAnsi="仿宋" w:eastAsia="仿宋"/>
          <w:sz w:val="32"/>
          <w:szCs w:val="32"/>
        </w:rPr>
        <w:t>行政</w:t>
      </w:r>
      <w:r>
        <w:rPr>
          <w:rFonts w:ascii="仿宋" w:hAnsi="仿宋" w:eastAsia="仿宋"/>
          <w:sz w:val="32"/>
          <w:szCs w:val="32"/>
        </w:rPr>
        <w:t>经费由基本支出和一般行政支出两部分组成；</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基本</w:t>
      </w:r>
      <w:r>
        <w:rPr>
          <w:rFonts w:ascii="仿宋" w:hAnsi="仿宋" w:eastAsia="仿宋"/>
          <w:sz w:val="32"/>
          <w:szCs w:val="32"/>
        </w:rPr>
        <w:t>支出，包括两部分；一部分是人员经费，具体包括工资、津贴及奖金、医疗费、住房补贴等</w:t>
      </w:r>
      <w:r>
        <w:rPr>
          <w:rFonts w:hint="eastAsia" w:ascii="仿宋" w:hAnsi="仿宋" w:eastAsia="仿宋"/>
          <w:sz w:val="32"/>
          <w:szCs w:val="32"/>
        </w:rPr>
        <w:t>；</w:t>
      </w:r>
      <w:r>
        <w:rPr>
          <w:rFonts w:ascii="仿宋" w:hAnsi="仿宋" w:eastAsia="仿宋"/>
          <w:sz w:val="32"/>
          <w:szCs w:val="32"/>
        </w:rPr>
        <w:t>二是公用经费，具体包括办公</w:t>
      </w:r>
      <w:r>
        <w:rPr>
          <w:rFonts w:hint="eastAsia" w:ascii="仿宋" w:hAnsi="仿宋" w:eastAsia="仿宋"/>
          <w:sz w:val="32"/>
          <w:szCs w:val="32"/>
        </w:rPr>
        <w:t>及</w:t>
      </w:r>
      <w:r>
        <w:rPr>
          <w:rFonts w:ascii="仿宋" w:hAnsi="仿宋" w:eastAsia="仿宋"/>
          <w:sz w:val="32"/>
          <w:szCs w:val="32"/>
        </w:rPr>
        <w:t>印刷费、水电费、邮电费、交通费、差旅费、会议费、福利费、物业管理费、日常维修费、一般购置费等。</w:t>
      </w:r>
    </w:p>
    <w:p>
      <w:pPr>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一般</w:t>
      </w:r>
      <w:r>
        <w:rPr>
          <w:rFonts w:ascii="仿宋" w:hAnsi="仿宋" w:eastAsia="仿宋"/>
          <w:sz w:val="32"/>
          <w:szCs w:val="32"/>
        </w:rPr>
        <w:t>行政管理项目支出，包括招待费、会议费、购置费（</w:t>
      </w:r>
      <w:r>
        <w:rPr>
          <w:rFonts w:hint="eastAsia" w:ascii="仿宋" w:hAnsi="仿宋" w:eastAsia="仿宋"/>
          <w:sz w:val="32"/>
          <w:szCs w:val="32"/>
        </w:rPr>
        <w:t>包括</w:t>
      </w:r>
      <w:r>
        <w:rPr>
          <w:rFonts w:ascii="仿宋" w:hAnsi="仿宋" w:eastAsia="仿宋"/>
          <w:sz w:val="32"/>
          <w:szCs w:val="32"/>
        </w:rPr>
        <w:t>设备、计算机等）</w:t>
      </w:r>
      <w:r>
        <w:rPr>
          <w:rFonts w:hint="eastAsia" w:ascii="仿宋" w:hAnsi="仿宋" w:eastAsia="仿宋"/>
          <w:sz w:val="32"/>
          <w:szCs w:val="32"/>
        </w:rPr>
        <w:t>、</w:t>
      </w:r>
      <w:r>
        <w:rPr>
          <w:rFonts w:ascii="仿宋" w:hAnsi="仿宋" w:eastAsia="仿宋"/>
          <w:sz w:val="32"/>
          <w:szCs w:val="32"/>
        </w:rPr>
        <w:t>专用材料费、干部培训费、信息网络运行维护费等用于</w:t>
      </w:r>
      <w:r>
        <w:rPr>
          <w:rFonts w:hint="eastAsia" w:ascii="仿宋" w:hAnsi="仿宋" w:eastAsia="仿宋"/>
          <w:sz w:val="32"/>
          <w:szCs w:val="32"/>
        </w:rPr>
        <w:t>一般</w:t>
      </w:r>
      <w:r>
        <w:rPr>
          <w:rFonts w:ascii="仿宋" w:hAnsi="仿宋" w:eastAsia="仿宋"/>
          <w:sz w:val="32"/>
          <w:szCs w:val="32"/>
        </w:rPr>
        <w:t>行政管理事务方面的项目支出。</w:t>
      </w:r>
    </w:p>
    <w:p>
      <w:pPr>
        <w:spacing w:line="460" w:lineRule="exact"/>
        <w:ind w:firstLine="640" w:firstLineChars="200"/>
        <w:rPr>
          <w:rFonts w:ascii="黑体" w:hAnsi="黑体" w:eastAsia="黑体"/>
          <w:sz w:val="32"/>
          <w:szCs w:val="32"/>
        </w:rPr>
      </w:pPr>
      <w:r>
        <w:rPr>
          <w:rFonts w:hint="eastAsia" w:ascii="黑体" w:hAnsi="黑体" w:eastAsia="黑体"/>
          <w:sz w:val="32"/>
          <w:szCs w:val="32"/>
        </w:rPr>
        <w:t>七、政府采购情况说明</w:t>
      </w:r>
    </w:p>
    <w:p>
      <w:pPr>
        <w:spacing w:line="460" w:lineRule="exact"/>
        <w:ind w:firstLine="800" w:firstLineChars="250"/>
        <w:rPr>
          <w:rFonts w:ascii="黑体" w:hAnsi="黑体" w:eastAsia="黑体"/>
          <w:sz w:val="32"/>
          <w:szCs w:val="32"/>
        </w:rPr>
      </w:pPr>
      <w:r>
        <w:rPr>
          <w:rFonts w:hint="eastAsia" w:ascii="仿宋_GB2312" w:hAnsi="黑体" w:eastAsia="仿宋_GB2312"/>
          <w:sz w:val="32"/>
          <w:szCs w:val="32"/>
        </w:rPr>
        <w:t>2019年觉木街道办政府采购总额为0万元，其中政府采购货物0万元</w:t>
      </w:r>
    </w:p>
    <w:p>
      <w:pPr>
        <w:spacing w:line="460" w:lineRule="exact"/>
        <w:ind w:firstLine="640" w:firstLineChars="200"/>
        <w:rPr>
          <w:rFonts w:ascii="黑体" w:hAnsi="黑体" w:eastAsia="黑体"/>
          <w:sz w:val="32"/>
          <w:szCs w:val="32"/>
        </w:rPr>
      </w:pPr>
      <w:r>
        <w:rPr>
          <w:rFonts w:hint="eastAsia" w:ascii="黑体" w:hAnsi="黑体" w:eastAsia="黑体"/>
          <w:sz w:val="32"/>
          <w:szCs w:val="32"/>
        </w:rPr>
        <w:t>八、国有资产占有使用情况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截止2019年12月31日，觉木街道办共有车辆0辆，其中一般公务用车0 辆。单位价值50万元以上通用设备0台（套）。</w:t>
      </w:r>
    </w:p>
    <w:p>
      <w:pPr>
        <w:spacing w:line="460" w:lineRule="exact"/>
        <w:ind w:firstLine="640" w:firstLineChars="200"/>
        <w:rPr>
          <w:rFonts w:ascii="黑体" w:hAnsi="黑体" w:eastAsia="黑体"/>
          <w:sz w:val="32"/>
          <w:szCs w:val="32"/>
        </w:rPr>
      </w:pPr>
      <w:r>
        <w:rPr>
          <w:rFonts w:hint="eastAsia" w:ascii="黑体" w:hAnsi="黑体" w:eastAsia="黑体"/>
          <w:sz w:val="32"/>
          <w:szCs w:val="32"/>
        </w:rPr>
        <w:t>九、重点、重大项目信息</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2019年觉木街道办实施预算绩效项目0个，涉及当年一般公共预算拨款0万元。</w:t>
      </w:r>
    </w:p>
    <w:p>
      <w:pPr>
        <w:spacing w:line="460" w:lineRule="exact"/>
        <w:rPr>
          <w:rFonts w:ascii="黑体" w:hAnsi="宋体" w:eastAsia="黑体"/>
          <w:sz w:val="48"/>
          <w:szCs w:val="48"/>
        </w:rPr>
      </w:pPr>
    </w:p>
    <w:p>
      <w:pPr>
        <w:spacing w:line="560" w:lineRule="exact"/>
        <w:jc w:val="center"/>
        <w:rPr>
          <w:rFonts w:ascii="黑体" w:hAnsi="宋体" w:eastAsia="黑体"/>
          <w:sz w:val="48"/>
          <w:szCs w:val="48"/>
        </w:rPr>
      </w:pPr>
      <w:r>
        <w:rPr>
          <w:rFonts w:hint="eastAsia" w:ascii="黑体" w:hAnsi="宋体" w:eastAsia="黑体"/>
          <w:sz w:val="48"/>
          <w:szCs w:val="48"/>
        </w:rPr>
        <w:t>第四部分 名词解释</w:t>
      </w:r>
    </w:p>
    <w:p>
      <w:pPr>
        <w:spacing w:line="560" w:lineRule="exact"/>
        <w:jc w:val="left"/>
        <w:rPr>
          <w:rFonts w:ascii="方正仿宋简体" w:hAnsi="宋体" w:eastAsia="方正仿宋简体" w:cs="宋体"/>
          <w:sz w:val="32"/>
          <w:szCs w:val="32"/>
        </w:rPr>
      </w:pP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一、财政拨款，是指县级财政当年拨付的资金。</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二、事业收入，是指事业单位开展业务活动取得的收入。</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三、上级补助收入，指事业单位收到上级单位拨入的非财政补助资金。</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四、经营收入，是指事业单位在业务活动之外开展非独立核算经营活动取得的收入。</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五、附属单位缴款，指事业单位收到附属单位按规定缴来的款项。</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六、其他收入，是指预算单位在“财政拨款、事业收入、经营收入”等之外取得的收入。</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七、用事业基金弥补收支差额，是指事业单位在当年的“财政拨款”、“事业收入”、“经营收入”和“其他收入”等不足以安排当年支出的情况下，使用以前年度积累的事业基金（即事业单位以前年度收支相抵后，按国家规定提取用于弥补以后年度收支差额的基金）弥补当年收支缺口的资金。</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八、上年结转和结余，是指以前年度支出预算因客观条件变化未执行完毕、结转到本年度按规定继续使用的资金，既包括财政拨款的结转和结余，也包括事业收入、经营收入和其他收入的结转和结余。</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九、一般公共服务（类）支出，指政府提供一般公共服务的支出。如财政局保障机构正常运转、开展财政管理活动所发生的基本支出和项目支出。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十、公共安全（类）支出，指政府维护社会公共安全方面的支出。如司法局机关及所属单位保障机构正常运转、开展司法管理活动所发生的基本支出和项目支出。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一、教育(类)支出,指政府教育事务支出。包括教育管理事务、普通教育、职工教育、成人教育、广播电视教育、留学教育、特殊教育等。如县教育局及县属学校、直属教育事业单位保障机构正常运转、开展教育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二、科学技术(类)支出,指科学技术方面的支出。包括科学技术管理事务、基础研究、应用研究、技术研究与开发、科技条件与服务、科学技术普及、开展国际重大科技合作、重大专项、转制科研机构、科技奖励等。</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十三、文化体育与传媒(类)支出：指政府在文化、文物、体育、广播影视、新闻出版等方面的支出。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四、社会保障和就业（类）支出,指政府在社会保障与就业方面的支出。包括社会保障与就业管理事务、民政管理事务、财政对社会保险基金补助、行政事业单位离退休、企业改革补助、就业补助、抚恤、退役安置、社会福利、残疾人事业、城县居民最低生活保障、自然灾害生活救助、红十字会事务等。如行政机关开支的离退休人员经费和离退休干部管理机构为离退休人员提供管理和服务所发生的工作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五、医疗卫生（类）支出，指政府医疗卫生方面的支出。包括医疗卫生管理事务支出、公立医院、基层医疗卫生机构支出、公共卫生、医疗保障、中医药、食品和药品监督管理事务等。如卫生局及所属单位保障机构正常运转、开展医疗卫生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六、节能环保（类）支出，指政府节能环保支出。包括环境保护管理事务支出、环境监测与监察支出、污染治理支出、自然生态保护支出、天然林保护工程支出、退耕还林支出、能源节约利用、污染减排、可再生能源和资源综合利用等支出。如环保局及所属单位保障机构正常运转、开展环境保护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七、城乡社区事务（类）支出，指城乡社区事务支出。包括城乡社区管理事务、城乡社区规划与管理、城乡社区公共设施、城乡社区住宅、城乡社区环境卫生、建设县场管理与监督支出等。如国土局用新增建设用地有偿使用费安排的耕地开发、土地整理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八、农林水事务（类）支出，指农林水事务支出。包括农业支出、林业支出、水利支出、扶贫支出、农业综合开发支出等。如水利局及所属单位保障机构正常运转、开展水利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十九、交通运输（类）支出，指交通运输和邮政方面的支出。包括公路运输支出、水路运输支出、铁路运输支出、民用航空运输支出和邮政业支出。如水利局及所属单位开展交通运输管理活动所发生的项目支出。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资源勘探电力信息等事务（类）支出，指资源勘探电力信息等事务支出。包括资源勘探支出、制造业支出、建筑业支出、电力监管支出、工业和信息产业监管支出、安全生产监管支出、国有资产监管支出、支持中小企业发展和管理支出等。如国资委机关（含监事会）所属单位履行职能、开展业务等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二十一、商业服务业等事务（类）支出，指商业服务业等事务支出。包括商业流通事务支出、旅游业管理与服务支出、涉外发展服务支出等。</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二十二、国土资源气象等事务（类）支出，指国土资源、海洋、测绘、地震、气象等公益服务事业方面的支出。如国土局及所属单位保障机构正常运转、开展国土资源管理活动所发生的基本支出和项目支出。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二十三、住房保障（类）支出，指政府用于住房方面的支出。包括保障性安居工程支出、住房改革支出、城乡社区住宅支出等。如行政事业单位按照国家政策规定向职工发放住房公积金、提租补贴等。</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二十四、其他支出，指除以上支出（类）以外的其他政府支出。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二十五、结余分配，是指事业单位按规定提取的职工福利基金、事业基金和缴纳的所得税，以及建设单位按规定应上缴的基本建设竣工项目结余资金。</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六、年末结转和结余资金，是指本年度或以前年度预算安排、因客观条件发生变化无法按原计划实施，需要延迟到以后年度继续使用的资金，既包括财政拨款的结转和结余，也包括事业收入、经营收入和其他收入的结转和结余</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二十七、基本支出，是指为保障机构正常运转、完成日常工作任务而发生的人员支出和公用支出。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二十八、项目支出，是指在基本支出之外为完成特定的行政工作任务或事业发展目标所发生的支出。</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二十九、地方公共财政预算支出，指按照现行中央政府与地方政府事权的划分，经省以下各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民生支出，民生支出指财政支出中用于保障和改善民生方面的支出。包括教育、科学技术、文化体育与传媒、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一、非税收入，指由各级政府、国家机关、事业单位、代行政府职能的社会团体及其他组织，依法利用政府权力、政府信誉、国家资源、国有资产或提供特定公共服务征收、收取、提取、募集的除税收和政府债务以外的财政收入。</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二、专项收入，指环保、水利、国土等部门征收的，有专门用途的公共财政预算收入。包括排污费收入、水资源费收入、矿产资源专项收入（矿产资源补偿费收入、探矿权采矿权使用费收入、探矿权采矿权价款收入）和其他专项收入。</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三、行政事业性收费收入，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四、罚没收入，指国家司法机关、依法具有行政处罚权的国家行政机关、法律法规授权的具有管理公共事务职能的组织等依据法律、法规和规章规定，对公民、法人或者其他组织实施处罚所取得的罚款、没收的违法所得、没收的非法财物及其变价收入等。</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五、转移支付，指上级政府通过预算安排的对下级政府无偿的资金拨付。中央、省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特定政策目标，专款专用。</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三十六、转移性收入，包括返还性收入、一般性转移支付收入、专项转移支付收入、上年结余收入、调入资金以及债券转贷收入（县县财政使用）、接受其他地区援助收入（受援县县使用）等。</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七、返还性收入，指1994年分税制改革、2002年所得税收入分享改革、2009年成品油税费改革后，对原属于地方的收入划为中央收入部分，给予地方的补偿。包括消费税和增值税税收返还、所得税基数返还、成品油价格和税费改革税收返还。</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三十八、政府性基金收入，县本级基金收入主要项目包括国有土地使用权出让收入、政府住房基金收入和其他基金收入。　　</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三十九、基本支出，指部门为保障其机构正常运转、完成日常工作任务而编制的年度基本支出计划，包括人员经费和公用经费两部分。</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四十、项目支出，指部门为完成其特定的行政工作任务或事业发展目标，在基本支出预算之外编制的年度项目支出计划。</w:t>
      </w:r>
    </w:p>
    <w:p>
      <w:pPr>
        <w:pStyle w:val="4"/>
        <w:spacing w:beforeAutospacing="0" w:afterAutospacing="0" w:line="560" w:lineRule="exact"/>
        <w:ind w:firstLine="480"/>
        <w:rPr>
          <w:rFonts w:ascii="仿宋_GB2312" w:eastAsia="仿宋_GB2312"/>
          <w:kern w:val="2"/>
          <w:sz w:val="32"/>
          <w:szCs w:val="32"/>
        </w:rPr>
      </w:pPr>
      <w:r>
        <w:rPr>
          <w:rFonts w:hint="eastAsia" w:ascii="仿宋_GB2312" w:eastAsia="仿宋_GB2312"/>
          <w:kern w:val="2"/>
          <w:sz w:val="32"/>
          <w:szCs w:val="32"/>
        </w:rPr>
        <w:t>四十一、“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spacing w:line="560" w:lineRule="exact"/>
        <w:rPr>
          <w:rFonts w:ascii="仿宋_GB2312" w:hAnsi="宋体" w:eastAsia="仿宋_GB2312" w:cs="宋体"/>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Calibri Light">
    <w:altName w:val="Times New Roman"/>
    <w:panose1 w:val="00000000000000000000"/>
    <w:charset w:val="00"/>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Calibri Light">
    <w:altName w:val="Times New Roman"/>
    <w:panose1 w:val="00000000000000000000"/>
    <w:charset w:val="00"/>
    <w:family w:val="swiss"/>
    <w:pitch w:val="default"/>
    <w:sig w:usb0="00000000" w:usb1="00000000" w:usb2="00000000" w:usb3="00000000" w:csb0="0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12</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5AD"/>
    <w:rsid w:val="00125844"/>
    <w:rsid w:val="00153CE2"/>
    <w:rsid w:val="003B79A9"/>
    <w:rsid w:val="005165AD"/>
    <w:rsid w:val="015D6DFB"/>
    <w:rsid w:val="0A251FE4"/>
    <w:rsid w:val="0A8C0989"/>
    <w:rsid w:val="0EC74571"/>
    <w:rsid w:val="0F7E602C"/>
    <w:rsid w:val="12E645C3"/>
    <w:rsid w:val="19306709"/>
    <w:rsid w:val="1FCC6157"/>
    <w:rsid w:val="20965EA1"/>
    <w:rsid w:val="20C52902"/>
    <w:rsid w:val="23DF0B91"/>
    <w:rsid w:val="278F147F"/>
    <w:rsid w:val="2A0E0CB4"/>
    <w:rsid w:val="2DEF7579"/>
    <w:rsid w:val="3338591E"/>
    <w:rsid w:val="391E6396"/>
    <w:rsid w:val="3CFE404E"/>
    <w:rsid w:val="40027013"/>
    <w:rsid w:val="46C042A0"/>
    <w:rsid w:val="47186663"/>
    <w:rsid w:val="481B588F"/>
    <w:rsid w:val="505734F4"/>
    <w:rsid w:val="524738EC"/>
    <w:rsid w:val="53465A32"/>
    <w:rsid w:val="541D0578"/>
    <w:rsid w:val="584872D4"/>
    <w:rsid w:val="5BB72566"/>
    <w:rsid w:val="63DD3DAD"/>
    <w:rsid w:val="66D92C9C"/>
    <w:rsid w:val="67C67FDF"/>
    <w:rsid w:val="71371528"/>
    <w:rsid w:val="781419FD"/>
    <w:rsid w:val="78DD3AC5"/>
    <w:rsid w:val="7E6753B2"/>
    <w:rsid w:val="7F4263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969</Words>
  <Characters>5524</Characters>
  <Lines>46</Lines>
  <Paragraphs>12</Paragraphs>
  <TotalTime>0</TotalTime>
  <ScaleCrop>false</ScaleCrop>
  <LinksUpToDate>false</LinksUpToDate>
  <CharactersWithSpaces>6481</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2022-12-21T06:39:16Z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